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A610" w14:textId="64FC6188" w:rsidR="00C01166" w:rsidRPr="00C01166" w:rsidRDefault="00C01166" w:rsidP="00214A07">
      <w:pPr>
        <w:pStyle w:val="StandardWeb"/>
        <w:rPr>
          <w:b/>
          <w:bCs/>
        </w:rPr>
      </w:pPr>
      <w:r w:rsidRPr="00C01166">
        <w:rPr>
          <w:b/>
          <w:bCs/>
        </w:rPr>
        <w:t>IZJAVA O PRISTUPAČNOSTI</w:t>
      </w:r>
    </w:p>
    <w:p w14:paraId="5614F75C" w14:textId="6B40135C" w:rsidR="00214A07" w:rsidRDefault="00214A07" w:rsidP="00214A07">
      <w:pPr>
        <w:pStyle w:val="StandardWeb"/>
      </w:pPr>
      <w:r>
        <w:t>Gradsko kazalište mladih nastoji svoje internetske stranice učiniti pristupačnima u skladu sa Zakonom o pristupačnosti internetskih stranica i programskih rješenja za pokretne uređaje tijela javnog sektora („Narodne novine“, broj 17/19; dalje u tekstu: Zakon o pristupačnosti) kojim se prenosi Direktiva (EU) 2016/2102 Europskog parlamenta i Vijeća od 26. listopada 2016. o pristupačnosti internetskih stranica i mobilnih aplikacija tijela javnog sektora (SL L 327 od 2. prosinca 2016.)</w:t>
      </w:r>
    </w:p>
    <w:p w14:paraId="7D6269CC" w14:textId="71C16614" w:rsidR="00214A07" w:rsidRDefault="00214A07" w:rsidP="00214A07">
      <w:pPr>
        <w:pStyle w:val="StandardWeb"/>
      </w:pPr>
      <w:r>
        <w:t>Ova izjava o pristupačnosti primjenjuje se na internetske stranice na mrežnom mjestu http://www.</w:t>
      </w:r>
      <w:r w:rsidR="008863B6">
        <w:t>gkm.hr</w:t>
      </w:r>
    </w:p>
    <w:p w14:paraId="0179AF19" w14:textId="03EB8292" w:rsidR="008863B6" w:rsidRPr="008863B6" w:rsidRDefault="008863B6" w:rsidP="008863B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</w:rPr>
      </w:pPr>
      <w:r w:rsidRPr="008863B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Stupanj usklađenosti</w:t>
      </w:r>
      <w:r>
        <w:br/>
      </w:r>
      <w:r w:rsidRPr="008863B6">
        <w:rPr>
          <w:rFonts w:ascii="Times New Roman" w:hAnsi="Times New Roman" w:cs="Times New Roman"/>
        </w:rPr>
        <w:t>Mrežno sjedište </w:t>
      </w:r>
      <w:hyperlink r:id="rId5" w:history="1">
        <w:r w:rsidRPr="008863B6">
          <w:rPr>
            <w:rStyle w:val="Hiperveza"/>
            <w:rFonts w:ascii="Times New Roman" w:hAnsi="Times New Roman" w:cs="Times New Roman"/>
          </w:rPr>
          <w:t>http://www.gkm.hr</w:t>
        </w:r>
      </w:hyperlink>
      <w:r w:rsidRPr="008863B6">
        <w:rPr>
          <w:rFonts w:ascii="Times New Roman" w:hAnsi="Times New Roman" w:cs="Times New Roman"/>
        </w:rPr>
        <w:t xml:space="preserve">  </w:t>
      </w:r>
      <w:r w:rsidR="00C01166">
        <w:rPr>
          <w:rFonts w:ascii="Times New Roman" w:hAnsi="Times New Roman" w:cs="Times New Roman"/>
        </w:rPr>
        <w:t>djelomično je</w:t>
      </w:r>
      <w:r w:rsidR="00E97066">
        <w:rPr>
          <w:rFonts w:ascii="Times New Roman" w:hAnsi="Times New Roman" w:cs="Times New Roman"/>
        </w:rPr>
        <w:t xml:space="preserve"> usklađeno je </w:t>
      </w:r>
      <w:r w:rsidRPr="008863B6">
        <w:rPr>
          <w:rFonts w:ascii="Times New Roman" w:hAnsi="Times New Roman" w:cs="Times New Roman"/>
        </w:rPr>
        <w:t>sa Zakonom o pristupačnosti</w:t>
      </w:r>
      <w:r w:rsidR="00E97066">
        <w:rPr>
          <w:rFonts w:ascii="Times New Roman" w:hAnsi="Times New Roman" w:cs="Times New Roman"/>
        </w:rPr>
        <w:t>. Utvrđene neusklađenosti navode se u nastavku:</w:t>
      </w:r>
    </w:p>
    <w:p w14:paraId="6F0784AA" w14:textId="77777777" w:rsidR="008863B6" w:rsidRDefault="008863B6" w:rsidP="008863B6">
      <w:pPr>
        <w:spacing w:before="100" w:beforeAutospacing="1" w:after="100" w:afterAutospacing="1" w:line="240" w:lineRule="auto"/>
        <w:outlineLvl w:val="2"/>
      </w:pPr>
    </w:p>
    <w:p w14:paraId="7E971EC0" w14:textId="11D7BCE2" w:rsidR="00EF179D" w:rsidRDefault="008863B6" w:rsidP="00155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863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Nepristupačan sadržaj</w:t>
      </w:r>
      <w:r w:rsidR="00EF17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1C75D33D" w14:textId="6F359A48" w:rsidR="00D15D5F" w:rsidRDefault="00D15D5F" w:rsidP="00155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511417" w14:textId="08A5E80E" w:rsidR="00D15D5F" w:rsidRPr="001A4BD1" w:rsidRDefault="00D15D5F" w:rsidP="001A4BD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A4BD1">
        <w:rPr>
          <w:rFonts w:ascii="Times New Roman" w:hAnsi="Times New Roman" w:cs="Times New Roman"/>
          <w:sz w:val="24"/>
          <w:szCs w:val="24"/>
          <w:lang w:eastAsia="hr-HR"/>
        </w:rPr>
        <w:t>-  kao glavni elementi stranica koriste se strukturalni elementi iz HTML5 standarda (</w:t>
      </w:r>
      <w:proofErr w:type="spellStart"/>
      <w:r w:rsidRPr="001A4BD1">
        <w:rPr>
          <w:rFonts w:ascii="Times New Roman" w:hAnsi="Times New Roman" w:cs="Times New Roman"/>
          <w:sz w:val="24"/>
          <w:szCs w:val="24"/>
          <w:lang w:eastAsia="hr-HR"/>
        </w:rPr>
        <w:t>header</w:t>
      </w:r>
      <w:proofErr w:type="spellEnd"/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A4BD1">
        <w:rPr>
          <w:rFonts w:ascii="Times New Roman" w:hAnsi="Times New Roman" w:cs="Times New Roman"/>
          <w:sz w:val="24"/>
          <w:szCs w:val="24"/>
          <w:lang w:eastAsia="hr-HR"/>
        </w:rPr>
        <w:t>footer</w:t>
      </w:r>
      <w:proofErr w:type="spellEnd"/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A4BD1">
        <w:rPr>
          <w:rFonts w:ascii="Times New Roman" w:hAnsi="Times New Roman" w:cs="Times New Roman"/>
          <w:sz w:val="24"/>
          <w:szCs w:val="24"/>
          <w:lang w:eastAsia="hr-HR"/>
        </w:rPr>
        <w:t>nav</w:t>
      </w:r>
      <w:proofErr w:type="spellEnd"/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A4BD1">
        <w:rPr>
          <w:rFonts w:ascii="Times New Roman" w:hAnsi="Times New Roman" w:cs="Times New Roman"/>
          <w:sz w:val="24"/>
          <w:szCs w:val="24"/>
          <w:lang w:eastAsia="hr-HR"/>
        </w:rPr>
        <w:t>section</w:t>
      </w:r>
      <w:proofErr w:type="spellEnd"/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A4BD1">
        <w:rPr>
          <w:rFonts w:ascii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A4BD1">
        <w:rPr>
          <w:rFonts w:ascii="Times New Roman" w:hAnsi="Times New Roman" w:cs="Times New Roman"/>
          <w:sz w:val="24"/>
          <w:szCs w:val="24"/>
          <w:lang w:eastAsia="hr-HR"/>
        </w:rPr>
        <w:t>aside</w:t>
      </w:r>
      <w:proofErr w:type="spellEnd"/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) umjesto div elemenata, kako bi čitači ekrana prepoznali značenje pojedinog elementa, eventualno bi trebalo dodati </w:t>
      </w:r>
      <w:proofErr w:type="spellStart"/>
      <w:r w:rsidRPr="001A4BD1">
        <w:rPr>
          <w:rFonts w:ascii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 tag</w:t>
      </w:r>
    </w:p>
    <w:p w14:paraId="28630169" w14:textId="6FBA06CE" w:rsidR="00EF179D" w:rsidRPr="001A4BD1" w:rsidRDefault="00EF179D" w:rsidP="001A4B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-  </w:t>
      </w:r>
      <w:r w:rsidR="008C6958" w:rsidRPr="001A4BD1">
        <w:rPr>
          <w:rFonts w:ascii="Times New Roman" w:hAnsi="Times New Roman" w:cs="Times New Roman"/>
          <w:sz w:val="24"/>
          <w:szCs w:val="24"/>
          <w:lang w:eastAsia="hr-HR"/>
        </w:rPr>
        <w:t>H elementi nisu hijerarhijski organizirani</w:t>
      </w:r>
      <w:r w:rsidR="00D15D5F" w:rsidRPr="001A4BD1">
        <w:rPr>
          <w:rFonts w:ascii="Times New Roman" w:hAnsi="Times New Roman" w:cs="Times New Roman"/>
          <w:sz w:val="24"/>
          <w:szCs w:val="24"/>
        </w:rPr>
        <w:t xml:space="preserve"> što u manjoj mjeri može predstavljati poteškoću korisnicima koji koriste čitač</w:t>
      </w:r>
    </w:p>
    <w:p w14:paraId="36FEACDF" w14:textId="68027A8D" w:rsidR="00D15D5F" w:rsidRPr="001A4BD1" w:rsidRDefault="00D15D5F" w:rsidP="001A4BD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A4BD1">
        <w:rPr>
          <w:rFonts w:ascii="Times New Roman" w:hAnsi="Times New Roman" w:cs="Times New Roman"/>
          <w:sz w:val="24"/>
          <w:szCs w:val="24"/>
        </w:rPr>
        <w:t xml:space="preserve">-  </w:t>
      </w:r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kontrast teksta, tekstualnih okvira i slika na mrežnim stranicama u odnosu na pozadinu stranica zadovoljavaju standarde, ali ne postoji mogućnost dodatnog namještanja kontrasta </w:t>
      </w:r>
    </w:p>
    <w:p w14:paraId="7A22A866" w14:textId="2FFAF44D" w:rsidR="001A4BD1" w:rsidRPr="001A4BD1" w:rsidRDefault="001A4BD1" w:rsidP="001A4BD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A4BD1">
        <w:rPr>
          <w:rFonts w:ascii="Times New Roman" w:hAnsi="Times New Roman" w:cs="Times New Roman"/>
          <w:sz w:val="24"/>
          <w:szCs w:val="24"/>
          <w:lang w:eastAsia="hr-HR"/>
        </w:rPr>
        <w:t>- kada se koriste posebne boje za označavanje teksta koji se želi naglasiti ili za označavanje poveznica, koriste se razni efekti koji nisu nužno podcrtavanje</w:t>
      </w:r>
    </w:p>
    <w:p w14:paraId="1713C48B" w14:textId="1300AE81" w:rsidR="00EF179D" w:rsidRPr="001A4BD1" w:rsidRDefault="00EF179D" w:rsidP="001A4BD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-  </w:t>
      </w:r>
      <w:r w:rsidR="00E97066" w:rsidRPr="001A4BD1">
        <w:rPr>
          <w:rFonts w:ascii="Times New Roman" w:hAnsi="Times New Roman" w:cs="Times New Roman"/>
          <w:sz w:val="24"/>
          <w:szCs w:val="24"/>
          <w:lang w:eastAsia="hr-HR"/>
        </w:rPr>
        <w:t>ne postoji deskripcija linkova</w:t>
      </w:r>
      <w:r w:rsidR="00D15D5F" w:rsidRPr="001A4BD1">
        <w:rPr>
          <w:rFonts w:ascii="Times New Roman" w:hAnsi="Times New Roman" w:cs="Times New Roman"/>
          <w:sz w:val="24"/>
          <w:szCs w:val="24"/>
        </w:rPr>
        <w:t xml:space="preserve"> zbog čega čitači koji koriste slabovidne osobe mogu ne protumačiti link/poveznicu, posebno ako je slikovna (kao ikona)</w:t>
      </w:r>
    </w:p>
    <w:p w14:paraId="5BC86BDF" w14:textId="44E71268" w:rsidR="008C6958" w:rsidRPr="001A4BD1" w:rsidRDefault="00EF179D" w:rsidP="001A4BD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A4BD1">
        <w:rPr>
          <w:rFonts w:ascii="Times New Roman" w:hAnsi="Times New Roman" w:cs="Times New Roman"/>
          <w:sz w:val="24"/>
          <w:szCs w:val="24"/>
          <w:lang w:eastAsia="hr-HR"/>
        </w:rPr>
        <w:t xml:space="preserve">-  </w:t>
      </w:r>
      <w:r w:rsidR="008C6958" w:rsidRPr="001A4BD1">
        <w:rPr>
          <w:rFonts w:ascii="Times New Roman" w:hAnsi="Times New Roman" w:cs="Times New Roman"/>
          <w:sz w:val="24"/>
          <w:szCs w:val="24"/>
          <w:lang w:eastAsia="hr-HR"/>
        </w:rPr>
        <w:t>određene ikone i poveznice nemaju potrebne dimenzije</w:t>
      </w:r>
      <w:r w:rsidR="00D15D5F" w:rsidRPr="001A4BD1">
        <w:rPr>
          <w:rFonts w:ascii="Times New Roman" w:hAnsi="Times New Roman" w:cs="Times New Roman"/>
          <w:sz w:val="24"/>
          <w:szCs w:val="24"/>
        </w:rPr>
        <w:t xml:space="preserve">, a smanjena veličina korisnicima otežava klik, a posebno </w:t>
      </w:r>
      <w:proofErr w:type="spellStart"/>
      <w:r w:rsidR="00D15D5F" w:rsidRPr="001A4BD1">
        <w:rPr>
          <w:rFonts w:ascii="Times New Roman" w:hAnsi="Times New Roman" w:cs="Times New Roman"/>
          <w:sz w:val="24"/>
          <w:szCs w:val="24"/>
        </w:rPr>
        <w:t>tap</w:t>
      </w:r>
      <w:proofErr w:type="spellEnd"/>
      <w:r w:rsidR="00D15D5F" w:rsidRPr="001A4BD1">
        <w:rPr>
          <w:rFonts w:ascii="Times New Roman" w:hAnsi="Times New Roman" w:cs="Times New Roman"/>
          <w:sz w:val="24"/>
          <w:szCs w:val="24"/>
        </w:rPr>
        <w:t xml:space="preserve"> (odabir) na mobilnim uređajima</w:t>
      </w:r>
    </w:p>
    <w:p w14:paraId="3E6DD7E3" w14:textId="1CA6D31A" w:rsidR="008863B6" w:rsidRDefault="008863B6" w:rsidP="008863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kazalište mladih 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t>radi na uklanjanju uočenih neusklađenosti</w:t>
      </w:r>
    </w:p>
    <w:p w14:paraId="1686A350" w14:textId="61C62D1A" w:rsidR="008863B6" w:rsidRPr="008863B6" w:rsidRDefault="008863B6" w:rsidP="0088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3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Priprema ove izjave o pristupačnosti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Ova je izjava sastavljena 2</w:t>
      </w:r>
      <w:r w:rsidR="00E970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prema Predlošku izjave o pristupačnosti koji je u skladu s Direktivom (EU) 2016/2102 Europskog parlamenta i Vijeća o pristupačnosti internetskih stranica i mobilnih aplikacija tijela javnog sektora, a utvrđen je </w:t>
      </w:r>
      <w:hyperlink r:id="rId6" w:tgtFrame="_self" w:history="1">
        <w:r w:rsidRPr="008863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Provedbenom odlukom Komisije (EU) 2018/1523</w:t>
        </w:r>
      </w:hyperlink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Procjena usklađenosti sa zahtjevima pristupačnosti rezultat je samoprocjene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 kazališta mladih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Izjava je zadnji put preispitana 2</w:t>
      </w:r>
      <w:r w:rsidR="00E970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rujna 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kazalište mladih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redovito revidirati ovu izjavu po otklanjanju razloga zbog kojih su pojedini sadržaji bili nepristupačni.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3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Povratne informacije i podaci za kontakt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Molimo korisnike ovih mrežnih stranica ako primijete neusklađen sadržaj, koji nije obuhvaćen ovom izjavom, da o tome obavijeste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kazalište mladih. 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Sve upite vezane uz pristupačnost mrežnog sjedišta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 kazalište mladih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korisnici mogu 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uputiti putem elektronič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pošte: </w:t>
      </w:r>
      <w:r w:rsidR="00B15299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ravnatelj@gkm.hr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3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Postupak praćenja provedbe propisa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Povjerenik za informiranje Republike Hrvatske je tijelo nadležno za praćenje usklađenosti mrežnih stranica i programskih rješenja za pokretne uređaje tijela javnog sektora sa zahtjevima pristupačnosti kao i za nadzor nad provedbom Zakona</w:t>
      </w:r>
      <w:r w:rsidR="006C2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pristupačnosti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slučaju nezadovoljavajućih odgovora na obavijest ili zahtjev za povratne informacije o pristupačnosti ovih mrežnih stranica, korisnici se mogu obratiti Povjereniku za informiranje putem elektroničke pošte: </w:t>
      </w:r>
      <w:hyperlink r:id="rId7" w:history="1">
        <w:r w:rsidRPr="008863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pristupacnost@pristupinfo.hr</w:t>
        </w:r>
      </w:hyperlink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3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14:paraId="49EE8E54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583B"/>
    <w:multiLevelType w:val="multilevel"/>
    <w:tmpl w:val="30F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A665F"/>
    <w:multiLevelType w:val="multilevel"/>
    <w:tmpl w:val="3E6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1F15"/>
    <w:multiLevelType w:val="hybridMultilevel"/>
    <w:tmpl w:val="16B219DA"/>
    <w:lvl w:ilvl="0" w:tplc="7326F6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B1A8E"/>
    <w:multiLevelType w:val="multilevel"/>
    <w:tmpl w:val="BEB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35F91"/>
    <w:multiLevelType w:val="multilevel"/>
    <w:tmpl w:val="F41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52DC8"/>
    <w:multiLevelType w:val="hybridMultilevel"/>
    <w:tmpl w:val="CAF22D82"/>
    <w:lvl w:ilvl="0" w:tplc="8DB27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798B"/>
    <w:multiLevelType w:val="multilevel"/>
    <w:tmpl w:val="32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B6350"/>
    <w:multiLevelType w:val="multilevel"/>
    <w:tmpl w:val="76D4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C1341"/>
    <w:multiLevelType w:val="multilevel"/>
    <w:tmpl w:val="B3B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57613"/>
    <w:multiLevelType w:val="hybridMultilevel"/>
    <w:tmpl w:val="C65C5FF4"/>
    <w:lvl w:ilvl="0" w:tplc="76D40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07"/>
    <w:rsid w:val="00155FEE"/>
    <w:rsid w:val="001A4BD1"/>
    <w:rsid w:val="00214A07"/>
    <w:rsid w:val="003A59CA"/>
    <w:rsid w:val="00661641"/>
    <w:rsid w:val="006C2B96"/>
    <w:rsid w:val="008863B6"/>
    <w:rsid w:val="008C6958"/>
    <w:rsid w:val="00B15299"/>
    <w:rsid w:val="00C01166"/>
    <w:rsid w:val="00D15D5F"/>
    <w:rsid w:val="00E97066"/>
    <w:rsid w:val="00EA4B76"/>
    <w:rsid w:val="00E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A3C4"/>
  <w15:chartTrackingRefBased/>
  <w15:docId w15:val="{642053A6-4F8F-45C3-8FB7-4BAFD5F5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63B6"/>
    <w:rPr>
      <w:b/>
      <w:bCs/>
    </w:rPr>
  </w:style>
  <w:style w:type="character" w:styleId="Hiperveza">
    <w:name w:val="Hyperlink"/>
    <w:basedOn w:val="Zadanifontodlomka"/>
    <w:uiPriority w:val="99"/>
    <w:unhideWhenUsed/>
    <w:rsid w:val="008863B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863B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C2B96"/>
    <w:pPr>
      <w:ind w:left="720"/>
      <w:contextualSpacing/>
    </w:pPr>
  </w:style>
  <w:style w:type="paragraph" w:styleId="Bezproreda">
    <w:name w:val="No Spacing"/>
    <w:uiPriority w:val="1"/>
    <w:qFormat/>
    <w:rsid w:val="001A4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stupacnost@pristupinf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HR/TXT/HTML/?uri=CELEX:32018D1523&amp;qid=1590482508144&amp;from=HR" TargetMode="External"/><Relationship Id="rId5" Type="http://schemas.openxmlformats.org/officeDocument/2006/relationships/hyperlink" Target="http://www.gk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2020-09-15T08:39:00Z</dcterms:created>
  <dcterms:modified xsi:type="dcterms:W3CDTF">2020-09-23T08:39:00Z</dcterms:modified>
</cp:coreProperties>
</file>