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41FD" w14:textId="77777777" w:rsidR="000201E0" w:rsidRDefault="000201E0" w:rsidP="000201E0">
      <w:pPr>
        <w:jc w:val="center"/>
        <w:rPr>
          <w:b/>
        </w:rPr>
      </w:pPr>
      <w:r>
        <w:rPr>
          <w:b/>
        </w:rPr>
        <w:t xml:space="preserve">OBRAZLOŽENJE PRIJEDLOGA REBALANSA FINANCIJSKOG PLANA GRADSKOG KAZALIŠTA MLADIH ZA </w:t>
      </w:r>
      <w:proofErr w:type="spellStart"/>
      <w:r>
        <w:rPr>
          <w:b/>
        </w:rPr>
        <w:t>ZA</w:t>
      </w:r>
      <w:proofErr w:type="spellEnd"/>
      <w:r>
        <w:rPr>
          <w:b/>
        </w:rPr>
        <w:t xml:space="preserve"> 2021. GODINU</w:t>
      </w:r>
    </w:p>
    <w:p w14:paraId="514748D9" w14:textId="77777777" w:rsidR="000201E0" w:rsidRDefault="000201E0" w:rsidP="000201E0"/>
    <w:p w14:paraId="36C280AD" w14:textId="77777777" w:rsidR="000201E0" w:rsidRDefault="000201E0" w:rsidP="000201E0">
      <w:pPr>
        <w:spacing w:after="0" w:line="240" w:lineRule="auto"/>
        <w:jc w:val="both"/>
      </w:pPr>
      <w:r>
        <w:t xml:space="preserve">       Grad Split je, temeljem Zaključaka  Gradonačelnika, osigurao Gradskom kazalištu mladih Split u okviru programa 1107 – Tekuće održavanje objekata, sredstva  u ukupnom iznosu od 169.300,00 kn i to za kapitalni projekt sanacije u iznosu od 69.000,00 kn te za trošak adaptacije glumačke kupaonice sa sanitarnim čvorom (Hitne intervencije) u iznosu od 87.500,00 kn. </w:t>
      </w:r>
    </w:p>
    <w:p w14:paraId="5ECF5080" w14:textId="77777777" w:rsidR="000201E0" w:rsidRDefault="000201E0" w:rsidP="000201E0">
      <w:pPr>
        <w:spacing w:after="0" w:line="240" w:lineRule="auto"/>
        <w:jc w:val="both"/>
      </w:pPr>
      <w:r>
        <w:t>Ovi projekti nisu bili predviđeni prvotnim financijskim planom te su uključeni u Prijedlog rebalansa  za 2021. godinu uz pretpostavku da ćemo do kraja godine u cijelosti ostvariti i prihod od Grada po navedenom osnovu.</w:t>
      </w:r>
    </w:p>
    <w:p w14:paraId="52502EAB" w14:textId="77777777" w:rsidR="000201E0" w:rsidRDefault="000201E0" w:rsidP="000201E0">
      <w:pPr>
        <w:spacing w:after="0" w:line="240" w:lineRule="auto"/>
      </w:pPr>
    </w:p>
    <w:p w14:paraId="691B2CBC" w14:textId="77777777" w:rsidR="000201E0" w:rsidRDefault="000201E0" w:rsidP="000201E0">
      <w:pPr>
        <w:spacing w:after="0" w:line="240" w:lineRule="auto"/>
        <w:jc w:val="both"/>
      </w:pPr>
      <w:r>
        <w:t xml:space="preserve">       Nadalje, sukladno Kolektivnom ugovoru za zaposlene u ustanovama kulture Grada Splita od 10. studenoga 2020., povećani su rashodi za nagrade, naknade za bolovanja duža od šest mjeseci te regres za godišnji odmor. Prvotno planirani rashodi za plaće  nisu povećani  zbog dugotrajnih bolovanja  i porodnog dopusta. Naime, ove naknade radnicima isplaćuju se iz sredstava Hrvatskog zavoda za zdravstveno osiguranje i  ne terete gradski proračun, ali su iz navedenog razloga  veće obveze   po osnovi dugotrajnih bolovanja i nužno ih je uključiti u Rebalans. </w:t>
      </w:r>
    </w:p>
    <w:p w14:paraId="52902799" w14:textId="77777777" w:rsidR="000201E0" w:rsidRDefault="000201E0" w:rsidP="000201E0">
      <w:pPr>
        <w:spacing w:after="0" w:line="240" w:lineRule="auto"/>
        <w:jc w:val="both"/>
      </w:pPr>
      <w:r>
        <w:t>Sveukupno gledano, navedeni ostali rashodi za zaposlene iz gradskih izvora, u odnosu na izvorni financijski plan,  povećani su za 172.800,00 kn, ali nisu povećani rashodi za plaće.</w:t>
      </w:r>
    </w:p>
    <w:p w14:paraId="7F4C09B8" w14:textId="77777777" w:rsidR="000201E0" w:rsidRDefault="000201E0" w:rsidP="000201E0">
      <w:pPr>
        <w:spacing w:after="0" w:line="240" w:lineRule="auto"/>
        <w:jc w:val="both"/>
      </w:pPr>
    </w:p>
    <w:p w14:paraId="231DE2B0" w14:textId="77777777" w:rsidR="000201E0" w:rsidRDefault="000201E0" w:rsidP="000201E0">
      <w:pPr>
        <w:spacing w:after="0" w:line="240" w:lineRule="auto"/>
        <w:jc w:val="both"/>
      </w:pPr>
      <w:r>
        <w:t xml:space="preserve">       Ostali  rashodi 2021. god. iz gradskih izvora, Prijedlogom rebalansa financijskog plana samo su  preraspodijeljeni po različitim kontima odnosno vrstama troška, a prema  realnijoj procjeni za ovu godinu.</w:t>
      </w:r>
    </w:p>
    <w:p w14:paraId="4C8E43BE" w14:textId="77777777" w:rsidR="000201E0" w:rsidRDefault="000201E0" w:rsidP="000201E0">
      <w:pPr>
        <w:spacing w:after="0" w:line="240" w:lineRule="auto"/>
        <w:jc w:val="both"/>
      </w:pPr>
    </w:p>
    <w:p w14:paraId="08C9A6A5" w14:textId="77777777" w:rsidR="000201E0" w:rsidRDefault="000201E0" w:rsidP="000201E0">
      <w:pPr>
        <w:spacing w:after="0" w:line="240" w:lineRule="auto"/>
        <w:jc w:val="both"/>
      </w:pPr>
      <w:r>
        <w:t xml:space="preserve">       U strukturi prihoda poslovanja , najveći pad zabilježen je kod prihoda po posebnim propisima (ulaznice, prihod od dramskih studija za djecu i mlade, gostovanja sa predstavama) te su Prijedlogom rebalansa </w:t>
      </w:r>
      <w:proofErr w:type="spellStart"/>
      <w:r>
        <w:t>samanjeni</w:t>
      </w:r>
      <w:proofErr w:type="spellEnd"/>
      <w:r>
        <w:t xml:space="preserve"> za 277.940 kn. Smanjenje ove stavke plana proizišlo je iz obveze provođenja propisanih mjera za sprečavanje širenja epidemije bolesti </w:t>
      </w:r>
      <w:proofErr w:type="spellStart"/>
      <w:r>
        <w:t>Covid</w:t>
      </w:r>
      <w:proofErr w:type="spellEnd"/>
      <w:r>
        <w:t xml:space="preserve"> 19.</w:t>
      </w:r>
    </w:p>
    <w:p w14:paraId="3B0ABA85" w14:textId="77777777" w:rsidR="000201E0" w:rsidRDefault="000201E0" w:rsidP="000201E0">
      <w:pPr>
        <w:spacing w:after="0" w:line="240" w:lineRule="auto"/>
        <w:jc w:val="both"/>
      </w:pPr>
    </w:p>
    <w:p w14:paraId="25A24B19" w14:textId="77777777" w:rsidR="000201E0" w:rsidRDefault="000201E0" w:rsidP="000201E0">
      <w:pPr>
        <w:spacing w:after="0" w:line="240" w:lineRule="auto"/>
        <w:jc w:val="both"/>
      </w:pPr>
      <w:r>
        <w:t xml:space="preserve">       Planirani prihodi redovne djelatnosti predloženim rebalansom smanjeni su za 82.240 kn i iznose 3.458.620 dok su rashodi redovne djelatnosti  ukupno smanjeni za 92.240 kn i iznose 3.438.620 kn, a imajući u vidu plan sukcesivnog pokrića prenesenog manjka prethodnog razdoblja.</w:t>
      </w:r>
    </w:p>
    <w:p w14:paraId="5E27BC32" w14:textId="77777777" w:rsidR="000201E0" w:rsidRDefault="000201E0" w:rsidP="000201E0">
      <w:pPr>
        <w:spacing w:after="0" w:line="240" w:lineRule="auto"/>
        <w:jc w:val="both"/>
      </w:pPr>
    </w:p>
    <w:p w14:paraId="356BBA42" w14:textId="77777777" w:rsidR="000201E0" w:rsidRDefault="000201E0" w:rsidP="000201E0">
      <w:pPr>
        <w:spacing w:after="0" w:line="240" w:lineRule="auto"/>
        <w:jc w:val="both"/>
      </w:pPr>
      <w:r>
        <w:t xml:space="preserve">       Sveukupno po svim programima, planirani prihodi po Prijedlogu rebalansa iznose 3.627.920 kn i veći su za 87.060 kn u odnosu na izvorni plan, dok su rashodi procijenjeni u visini od 3.607.920 kn, odnosno za  77.060,00 kn više u odnosu na prvotno planirane.  </w:t>
      </w:r>
    </w:p>
    <w:p w14:paraId="00D545A1" w14:textId="77777777" w:rsidR="000201E0" w:rsidRDefault="000201E0" w:rsidP="000201E0">
      <w:pPr>
        <w:spacing w:after="0" w:line="240" w:lineRule="auto"/>
        <w:jc w:val="both"/>
      </w:pPr>
      <w:r>
        <w:t xml:space="preserve"> </w:t>
      </w:r>
    </w:p>
    <w:p w14:paraId="10DCE830" w14:textId="77777777" w:rsidR="000201E0" w:rsidRDefault="000201E0" w:rsidP="000201E0">
      <w:pPr>
        <w:spacing w:after="0" w:line="240" w:lineRule="auto"/>
        <w:jc w:val="both"/>
      </w:pPr>
      <w:r>
        <w:t xml:space="preserve">Split, 9. rujna 2021. </w:t>
      </w:r>
    </w:p>
    <w:p w14:paraId="05C443D9" w14:textId="77777777" w:rsidR="000201E0" w:rsidRDefault="000201E0" w:rsidP="000201E0">
      <w:r>
        <w:t xml:space="preserve">                                                                                                                                                              RAVNATELJ</w:t>
      </w:r>
    </w:p>
    <w:p w14:paraId="556B829B" w14:textId="77777777" w:rsidR="000201E0" w:rsidRDefault="000201E0" w:rsidP="000201E0">
      <w:pPr>
        <w:jc w:val="center"/>
      </w:pPr>
      <w:r>
        <w:t xml:space="preserve">                                                                                                                                                           Ivo </w:t>
      </w:r>
      <w:proofErr w:type="spellStart"/>
      <w:r>
        <w:t>Perkušić</w:t>
      </w:r>
      <w:proofErr w:type="spellEnd"/>
    </w:p>
    <w:p w14:paraId="187E614B" w14:textId="77777777" w:rsidR="000201E0" w:rsidRPr="000201E0" w:rsidRDefault="000201E0" w:rsidP="000201E0">
      <w:pPr>
        <w:rPr>
          <w:rFonts w:asciiTheme="minorHAnsi" w:hAnsiTheme="minorHAnsi" w:cstheme="minorHAnsi"/>
        </w:rPr>
      </w:pPr>
    </w:p>
    <w:p w14:paraId="43674879" w14:textId="77777777" w:rsidR="000201E0" w:rsidRPr="000201E0" w:rsidRDefault="000201E0" w:rsidP="000201E0">
      <w:pPr>
        <w:pStyle w:val="Bezproreda"/>
        <w:rPr>
          <w:rFonts w:cstheme="minorHAnsi"/>
        </w:rPr>
      </w:pPr>
      <w:r w:rsidRPr="000201E0">
        <w:rPr>
          <w:rFonts w:cstheme="minorHAnsi"/>
        </w:rPr>
        <w:t>Usvojeno na 41. sjednici Kazališnog vijeća Gradskog kazališta mladih 14. rujna 2021.</w:t>
      </w:r>
    </w:p>
    <w:p w14:paraId="6C5415B5" w14:textId="77777777" w:rsidR="000201E0" w:rsidRPr="000201E0" w:rsidRDefault="000201E0" w:rsidP="000201E0">
      <w:pPr>
        <w:pStyle w:val="Bezproreda"/>
        <w:rPr>
          <w:rFonts w:cstheme="minorHAnsi"/>
        </w:rPr>
      </w:pPr>
    </w:p>
    <w:p w14:paraId="70D1B318" w14:textId="77777777" w:rsidR="000201E0" w:rsidRPr="000201E0" w:rsidRDefault="000201E0" w:rsidP="000201E0">
      <w:pPr>
        <w:pStyle w:val="Bezproreda"/>
        <w:jc w:val="right"/>
        <w:rPr>
          <w:rFonts w:cstheme="minorHAnsi"/>
        </w:rPr>
      </w:pPr>
      <w:r w:rsidRPr="000201E0">
        <w:rPr>
          <w:rFonts w:cstheme="minorHAnsi"/>
        </w:rPr>
        <w:t>Potpredsjednik:</w:t>
      </w:r>
    </w:p>
    <w:p w14:paraId="37D080C0" w14:textId="77777777" w:rsidR="000201E0" w:rsidRPr="000201E0" w:rsidRDefault="000201E0" w:rsidP="000201E0">
      <w:pPr>
        <w:pStyle w:val="Bezproreda"/>
        <w:jc w:val="right"/>
        <w:rPr>
          <w:rFonts w:cstheme="minorHAnsi"/>
        </w:rPr>
      </w:pPr>
    </w:p>
    <w:p w14:paraId="54E82848" w14:textId="77777777" w:rsidR="000201E0" w:rsidRPr="000201E0" w:rsidRDefault="000201E0" w:rsidP="000201E0">
      <w:pPr>
        <w:pStyle w:val="Bezproreda"/>
        <w:jc w:val="right"/>
        <w:rPr>
          <w:rFonts w:cstheme="minorHAnsi"/>
        </w:rPr>
      </w:pPr>
    </w:p>
    <w:p w14:paraId="695E2686" w14:textId="77777777" w:rsidR="000201E0" w:rsidRPr="000201E0" w:rsidRDefault="000201E0" w:rsidP="000201E0">
      <w:pPr>
        <w:pStyle w:val="Bezproreda"/>
        <w:jc w:val="right"/>
        <w:rPr>
          <w:rFonts w:cstheme="minorHAnsi"/>
        </w:rPr>
      </w:pPr>
      <w:r w:rsidRPr="000201E0">
        <w:rPr>
          <w:rFonts w:cstheme="minorHAnsi"/>
        </w:rPr>
        <w:t>Vinko Mihanović</w:t>
      </w:r>
    </w:p>
    <w:p w14:paraId="517B4B94" w14:textId="77777777" w:rsidR="000201E0" w:rsidRPr="000201E0" w:rsidRDefault="000201E0" w:rsidP="000201E0">
      <w:pPr>
        <w:pStyle w:val="Bezproreda"/>
        <w:rPr>
          <w:rFonts w:cstheme="minorHAnsi"/>
        </w:rPr>
      </w:pPr>
    </w:p>
    <w:p w14:paraId="5BF8D0BF" w14:textId="743C89B1" w:rsidR="000201E0" w:rsidRPr="000201E0" w:rsidRDefault="000201E0" w:rsidP="000201E0">
      <w:pPr>
        <w:pStyle w:val="Bezproreda"/>
        <w:rPr>
          <w:rFonts w:cstheme="minorHAnsi"/>
        </w:rPr>
      </w:pPr>
      <w:r w:rsidRPr="000201E0">
        <w:rPr>
          <w:rFonts w:cstheme="minorHAnsi"/>
        </w:rPr>
        <w:t>Klasa: 612-03/21-01/148</w:t>
      </w:r>
    </w:p>
    <w:p w14:paraId="736D2911" w14:textId="77777777" w:rsidR="000201E0" w:rsidRPr="000201E0" w:rsidRDefault="000201E0" w:rsidP="000201E0">
      <w:pPr>
        <w:pStyle w:val="Bezproreda"/>
        <w:rPr>
          <w:rFonts w:cstheme="minorHAnsi"/>
        </w:rPr>
      </w:pPr>
      <w:proofErr w:type="spellStart"/>
      <w:r w:rsidRPr="000201E0">
        <w:rPr>
          <w:rFonts w:cstheme="minorHAnsi"/>
        </w:rPr>
        <w:t>Urbroj</w:t>
      </w:r>
      <w:proofErr w:type="spellEnd"/>
      <w:r w:rsidRPr="000201E0">
        <w:rPr>
          <w:rFonts w:cstheme="minorHAnsi"/>
        </w:rPr>
        <w:t>: 2181-110-01-00/01</w:t>
      </w:r>
    </w:p>
    <w:p w14:paraId="1EBC6883" w14:textId="77777777" w:rsidR="00661641" w:rsidRDefault="00661641"/>
    <w:sectPr w:rsidR="00661641" w:rsidSect="000201E0">
      <w:pgSz w:w="11906" w:h="16838"/>
      <w:pgMar w:top="1417" w:right="1417" w:bottom="42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E0"/>
    <w:rsid w:val="000201E0"/>
    <w:rsid w:val="006616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8AE6"/>
  <w15:chartTrackingRefBased/>
  <w15:docId w15:val="{7D2E099D-9A8C-4C4A-8C7D-C1F74BD4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E0"/>
    <w:pPr>
      <w:suppressAutoHyphens/>
      <w:autoSpaceDN w:val="0"/>
      <w:spacing w:after="200" w:line="276" w:lineRule="auto"/>
      <w:textAlignment w:val="baseline"/>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20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cp:lastPrinted>2021-09-20T07:38:00Z</cp:lastPrinted>
  <dcterms:created xsi:type="dcterms:W3CDTF">2021-09-20T07:37:00Z</dcterms:created>
  <dcterms:modified xsi:type="dcterms:W3CDTF">2021-09-20T07:40:00Z</dcterms:modified>
</cp:coreProperties>
</file>