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66E8" w14:textId="48FB97F6" w:rsidR="00C10ABA" w:rsidRPr="00C10ABA" w:rsidRDefault="00C10ABA" w:rsidP="00C10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01874099"/>
      <w:r w:rsidRPr="00C10ABA">
        <w:rPr>
          <w:rFonts w:ascii="Times New Roman" w:eastAsia="Calibri" w:hAnsi="Times New Roman" w:cs="Times New Roman"/>
          <w:sz w:val="24"/>
          <w:szCs w:val="24"/>
        </w:rPr>
        <w:t>Klasa: 612-03/22-01/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395CBD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EF1BD5A" w14:textId="77777777" w:rsidR="00C10ABA" w:rsidRPr="00C10ABA" w:rsidRDefault="00C10ABA" w:rsidP="00C10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ABA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C10ABA">
        <w:rPr>
          <w:rFonts w:ascii="Times New Roman" w:eastAsia="Calibri" w:hAnsi="Times New Roman" w:cs="Times New Roman"/>
          <w:sz w:val="24"/>
          <w:szCs w:val="24"/>
        </w:rPr>
        <w:t>: 2181-110-22-1</w:t>
      </w:r>
    </w:p>
    <w:p w14:paraId="1AFA1531" w14:textId="77777777" w:rsidR="00C10ABA" w:rsidRPr="00C10ABA" w:rsidRDefault="00C10ABA" w:rsidP="00C10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ABA">
        <w:rPr>
          <w:rFonts w:ascii="Times New Roman" w:eastAsia="Calibri" w:hAnsi="Times New Roman" w:cs="Times New Roman"/>
          <w:sz w:val="24"/>
          <w:szCs w:val="24"/>
        </w:rPr>
        <w:t>Split, 16. kolovoza 2022.</w:t>
      </w:r>
    </w:p>
    <w:p w14:paraId="070BB712" w14:textId="77777777" w:rsidR="00C10ABA" w:rsidRPr="00C10ABA" w:rsidRDefault="00C10ABA" w:rsidP="00C10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7ADED7" w14:textId="77777777" w:rsidR="00C10ABA" w:rsidRPr="00C10ABA" w:rsidRDefault="00C10ABA" w:rsidP="00C10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C3CBDF" w14:textId="77777777" w:rsidR="00C10ABA" w:rsidRPr="00C10ABA" w:rsidRDefault="00C10ABA" w:rsidP="00C10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712E2F" w14:textId="77777777" w:rsidR="00C10ABA" w:rsidRPr="00C10ABA" w:rsidRDefault="00C10ABA" w:rsidP="00C10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05AACD" w14:textId="77777777" w:rsidR="00C10ABA" w:rsidRPr="00C10ABA" w:rsidRDefault="00C10ABA" w:rsidP="00C10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8AC41B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Temeljem odredbe članka 17. Statuta Gradskog kazališta mladih te članka 7. Pravilnika o radu, ravnatelj Gradskog kazališta mladih raspisuje</w:t>
      </w:r>
    </w:p>
    <w:p w14:paraId="7091ED96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29549306" w14:textId="77777777" w:rsidR="00C10ABA" w:rsidRPr="00C10ABA" w:rsidRDefault="00C10ABA" w:rsidP="00C10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BA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2C9906A7" w14:textId="7E2CD80E" w:rsidR="00C10ABA" w:rsidRPr="00C10ABA" w:rsidRDefault="00C10ABA" w:rsidP="00C10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BA">
        <w:rPr>
          <w:rFonts w:ascii="Times New Roman" w:hAnsi="Times New Roman" w:cs="Times New Roman"/>
          <w:b/>
          <w:sz w:val="24"/>
          <w:szCs w:val="24"/>
        </w:rPr>
        <w:t>za popunu radnog mjesta  voditelja prodaje, jedan izvršitelj, na neodređeno vrijeme u punom radnom vremenu, uz probni rad</w:t>
      </w:r>
      <w:r w:rsidR="003B12C5">
        <w:rPr>
          <w:rFonts w:ascii="Times New Roman" w:hAnsi="Times New Roman" w:cs="Times New Roman"/>
          <w:b/>
          <w:sz w:val="24"/>
          <w:szCs w:val="24"/>
        </w:rPr>
        <w:t xml:space="preserve"> od 6 mjeseci</w:t>
      </w:r>
    </w:p>
    <w:p w14:paraId="05A0F45C" w14:textId="77777777" w:rsidR="00C10ABA" w:rsidRPr="00C10ABA" w:rsidRDefault="00C10ABA" w:rsidP="00C1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B3009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2FFE8F1B" w14:textId="77777777" w:rsidR="00C10ABA" w:rsidRPr="00C10ABA" w:rsidRDefault="00C10ABA" w:rsidP="00C10A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ABA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14:paraId="53C4BD5F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VSS ili VŠS s područja društvenih znanosti</w:t>
      </w:r>
    </w:p>
    <w:p w14:paraId="3DA1D90D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- 3 godine radnog staža</w:t>
      </w:r>
    </w:p>
    <w:p w14:paraId="0510A503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znanje jednog svjetskog jezika</w:t>
      </w:r>
    </w:p>
    <w:p w14:paraId="6A971D08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poznavanje rada na računalu.</w:t>
      </w:r>
    </w:p>
    <w:p w14:paraId="4241BDE8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F4CBD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Kratak opis poslova:</w:t>
      </w:r>
    </w:p>
    <w:p w14:paraId="1ECFD83D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vodi evidenciju o održavanju predstava, prihodu i broju posjetitelja</w:t>
      </w:r>
    </w:p>
    <w:p w14:paraId="26A74D17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ugovara predstave na matičnoj pozornici rukovodeći se važećim godišnjim kriterijima </w:t>
      </w:r>
    </w:p>
    <w:p w14:paraId="7B453648" w14:textId="77777777" w:rsidR="00C10ABA" w:rsidRPr="00C10ABA" w:rsidRDefault="00C10ABA" w:rsidP="00C10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o broju predstava i popunjenosti gledališta</w:t>
      </w:r>
    </w:p>
    <w:p w14:paraId="29405A93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ugovara predstave na gostovanjima</w:t>
      </w:r>
    </w:p>
    <w:p w14:paraId="24DF7AF7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organizira pripremu i nabavku potrebnog propagandnog materijala (programi </w:t>
      </w:r>
    </w:p>
    <w:p w14:paraId="2C7D2D19" w14:textId="77777777" w:rsidR="00C10ABA" w:rsidRPr="00C10ABA" w:rsidRDefault="00C10ABA" w:rsidP="00C10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Kazališta, programske knjižice i plakati kazališnih predstava i dr.)</w:t>
      </w:r>
    </w:p>
    <w:p w14:paraId="5937E9FA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distribuira propagandni materijal</w:t>
      </w:r>
    </w:p>
    <w:p w14:paraId="51180A1D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brine o internom informiranju o pitanjima iz domene svog radnog mjesta (raspored </w:t>
      </w:r>
    </w:p>
    <w:p w14:paraId="2248E2C3" w14:textId="77777777" w:rsidR="00C10ABA" w:rsidRPr="00C10ABA" w:rsidRDefault="00C10ABA" w:rsidP="00C10A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predstava, pokusa, gostovanja i slično)</w:t>
      </w:r>
    </w:p>
    <w:p w14:paraId="61301FB7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dežura na predstavama</w:t>
      </w:r>
    </w:p>
    <w:p w14:paraId="0E3D9742" w14:textId="77777777" w:rsidR="00C10ABA" w:rsidRPr="00C10ABA" w:rsidRDefault="00C10ABA" w:rsidP="00C1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obavlja i druge poslove po uputama ravnatelja. </w:t>
      </w:r>
    </w:p>
    <w:p w14:paraId="6BE08867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br/>
        <w:t>Kandidati su dužni uz vlastoručno potpisanu prijavu na natječaj (u kojoj je potrebno navesti ime i prezime, broj telefona, e-mail adresu te valjanu adresu stanovanja) priložiti:</w:t>
      </w:r>
    </w:p>
    <w:p w14:paraId="1FDDD7EC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CB13FFE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- životopis</w:t>
      </w:r>
    </w:p>
    <w:p w14:paraId="56F0C325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>- dokaz državljanstva (domovnica ili osobna iskaznica)</w:t>
      </w:r>
    </w:p>
    <w:p w14:paraId="6D7B5468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dokaz o odgovarajućem stupnju obrazovanja (diploma)</w:t>
      </w:r>
    </w:p>
    <w:p w14:paraId="2F61FE30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dokaz o radnom stažu (elektronički zapis ili potvrda o podacima evidentiranim u bazi </w:t>
      </w:r>
    </w:p>
    <w:p w14:paraId="5D613A32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podataka Hrvatskog zavoda za mirovinsko osiguranje)</w:t>
      </w:r>
    </w:p>
    <w:p w14:paraId="76028A4B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dokaz o znanju svjetskog jezika (uvjerenje škole za strane jezike ili indeks)</w:t>
      </w:r>
    </w:p>
    <w:p w14:paraId="5A80624B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dokaz o poznavanju rada na računalu (uvjerenje odgovarajuće škole ili vlastoručno  </w:t>
      </w:r>
    </w:p>
    <w:p w14:paraId="0A47CB9D" w14:textId="77777777" w:rsidR="00C10ABA" w:rsidRPr="00C10ABA" w:rsidRDefault="00C10ABA" w:rsidP="00C10A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potpisana izjava o poznavanju rada na računalu).</w:t>
      </w:r>
    </w:p>
    <w:p w14:paraId="7F5AFCE1" w14:textId="77777777" w:rsidR="00C10ABA" w:rsidRPr="00C10ABA" w:rsidRDefault="00C10ABA" w:rsidP="00C10A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60A44271" w14:textId="77777777" w:rsidR="00C10ABA" w:rsidRPr="00C10ABA" w:rsidRDefault="00C10ABA" w:rsidP="00C10A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Na natječaj se mogu prijaviti osobe oba spola. Izrazi koji se koriste u ovom natječaju, a imaju rodno značenje, koriste se neutralno i odnose se jednako na ženski i muški spol.</w:t>
      </w:r>
    </w:p>
    <w:p w14:paraId="1895C8E3" w14:textId="77777777" w:rsidR="00C10ABA" w:rsidRPr="00C10ABA" w:rsidRDefault="00C10ABA" w:rsidP="00C10A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Isprave se prilažu u preslici, a izabrani kandidat predočit će dokumentaciju u izvorniku/ovjerenoj preslici. </w:t>
      </w:r>
    </w:p>
    <w:p w14:paraId="45486C27" w14:textId="033C66F2" w:rsidR="00C10ABA" w:rsidRPr="00C10ABA" w:rsidRDefault="00C10ABA" w:rsidP="00C10A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kandidati dozvoljavaju Gradskom kazalištu mladih da prikuplja, koristi i obrađuje njihove osobne podatke navedene u prijavi i priloženoj dokumentaciji samo u svrhu provedbe natječajnog postupka kao i objav</w:t>
      </w:r>
      <w:r w:rsidR="003B12C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obavijesti o rezultatima natječaja, a sukladno propisima koji uređuju zaštitu osobnih podataka.</w:t>
      </w:r>
    </w:p>
    <w:p w14:paraId="0669FD25" w14:textId="77777777" w:rsidR="00C10ABA" w:rsidRPr="00C10ABA" w:rsidRDefault="00C10ABA" w:rsidP="00C10A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Ako kandidat ostvaruje prednost pri zapošljavanju prema posebnim propisima, dužan je u prijavi na natječaj pozvati se na to pravo i ima prednost u odnosu na ostale kandidate samo pod jednakim uvjetima te je dužan uz prijavu na natječaj priložiti svu potrebnu dokumentaciju iz koje je vidljivo spomenuto pravo, sukladno posebnom propisu. </w:t>
      </w:r>
    </w:p>
    <w:p w14:paraId="2B213A47" w14:textId="77777777" w:rsidR="00C10ABA" w:rsidRPr="00C10ABA" w:rsidRDefault="00C10ABA" w:rsidP="00C10ABA">
      <w:pPr>
        <w:spacing w:after="240" w:line="240" w:lineRule="auto"/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  <w:lang w:eastAsia="hr-HR"/>
        </w:rPr>
      </w:pPr>
      <w:r w:rsidRPr="00C10A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Osobe koje pravo prednosti pri zapošljavanju ostvaruju temeljem odredbi Zakona o hrvatskim braniteljima iz Domovinskog rata i članovima njihovih obitelji („Narodne novine“ broj 121/17, 98/19 i 84/21), dužne su uz prijavu na natječaj dostaviti dokaze iz članka 103. citiranog Zakona, koji se mogu pronaći na internetskoj stranici Ministarstva hrvatskih branitelja: </w:t>
      </w:r>
      <w:hyperlink r:id="rId6" w:history="1">
        <w:r w:rsidRPr="00C10ABA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C10ABA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hr-HR"/>
        </w:rPr>
        <w:t xml:space="preserve"> )</w:t>
      </w:r>
    </w:p>
    <w:p w14:paraId="34C5745C" w14:textId="07919DA3" w:rsidR="00C10ABA" w:rsidRPr="00C10ABA" w:rsidRDefault="00C10ABA" w:rsidP="00C10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je 8 dana od dana objave natječaja. Prijave se dostavljaju na adresu: Gradsko kazalište mladih, Split, Trg Republike 1, s naznakom „Za natječaj“.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traje od 26. kolovoza 2022.</w:t>
      </w:r>
    </w:p>
    <w:p w14:paraId="160DBA9A" w14:textId="77777777" w:rsidR="00C10ABA" w:rsidRPr="00C10ABA" w:rsidRDefault="00C10ABA" w:rsidP="00C10A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10AB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Urednom prijavom smatra se prijava koja sadrži sve podatke i priloge navedene u tekstu ovoga natječaja. Nepotpune i nepravovremeno pristigle prijave, kao i prijave kandidata koji ne ispunjavaju formalne uvjete iz natječaja, neće se razmatrati.</w:t>
      </w:r>
    </w:p>
    <w:p w14:paraId="27BC5CDF" w14:textId="77777777" w:rsidR="00C10ABA" w:rsidRPr="00C10ABA" w:rsidRDefault="00C10ABA" w:rsidP="00C10A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ispunjavaju uvjete propisane natječajem i uđu u uži izbor bit će pozvani na razgovor i/ili pisanu provjeru znanja radi provjere stručnih znanja, sposobnosti i vještina na temelju čega će se izvršiti konačni izbor kandidata. Za kandidate koji se ne odazovu pozivu na razgovor/provjeru smatrat će se da su odustali od natječaja. </w:t>
      </w:r>
    </w:p>
    <w:p w14:paraId="00438FF6" w14:textId="47F2EA84" w:rsidR="00C10ABA" w:rsidRPr="00C10ABA" w:rsidRDefault="00C10ABA" w:rsidP="00C10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natječaja kandidati će biti obaviješteni objavom na službenoj web stranici Gradskog kazališta mladih </w:t>
      </w:r>
      <w:hyperlink r:id="rId7" w:history="1">
        <w:r w:rsidRPr="00C10A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www.gkm.hr</w:t>
        </w:r>
      </w:hyperlink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odjeljku O KAZALIŠTU – NATJEČAJI, sukladno čl. 10. st. 1. </w:t>
      </w:r>
      <w:proofErr w:type="spellStart"/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>toč</w:t>
      </w:r>
      <w:proofErr w:type="spellEnd"/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10. Zakona o pravu na pristup informacijama (NN 25/13, 85/15 i 69/22), u roku od </w:t>
      </w:r>
      <w:r w:rsidR="003B12C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isteka roka za </w:t>
      </w:r>
      <w:r w:rsidR="003B12C5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izboru kandidata za radno mjesto</w:t>
      </w: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>. Dostava odluke smatra se obavljenom istekom osmog dana od dana objave odluke na internetskoj stranici. Kandidati koji su se pozvali na pravo prednosti bit će obaviješteni i sukladno odredbama zakona.</w:t>
      </w:r>
    </w:p>
    <w:p w14:paraId="3AF685A4" w14:textId="77777777" w:rsidR="00C10ABA" w:rsidRPr="00C10ABA" w:rsidRDefault="00C10ABA" w:rsidP="00C10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71C40A" w14:textId="77777777" w:rsidR="00C10ABA" w:rsidRPr="00C10ABA" w:rsidRDefault="00C10ABA" w:rsidP="00C10A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14:paraId="0D7A853C" w14:textId="77777777" w:rsidR="00C10ABA" w:rsidRPr="00C10ABA" w:rsidRDefault="00C10ABA" w:rsidP="00C10A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51A0B0" w14:textId="0AB67432" w:rsidR="002E2C2F" w:rsidRPr="003B12C5" w:rsidRDefault="00C10ABA" w:rsidP="003B12C5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 </w:t>
      </w:r>
      <w:proofErr w:type="spellStart"/>
      <w:r w:rsidRPr="00C10ABA">
        <w:rPr>
          <w:rFonts w:ascii="Times New Roman" w:eastAsia="Times New Roman" w:hAnsi="Times New Roman" w:cs="Times New Roman"/>
          <w:sz w:val="24"/>
          <w:szCs w:val="24"/>
          <w:lang w:eastAsia="hr-HR"/>
        </w:rPr>
        <w:t>Perkušić</w:t>
      </w:r>
      <w:proofErr w:type="spellEnd"/>
      <w:r w:rsidRPr="00C10A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bookmarkEnd w:id="0"/>
    </w:p>
    <w:sectPr w:rsidR="002E2C2F" w:rsidRPr="003B12C5" w:rsidSect="00C53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843" w:right="849" w:bottom="1417" w:left="993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3BCA" w14:textId="77777777" w:rsidR="00EA03EE" w:rsidRDefault="00EA03EE">
      <w:pPr>
        <w:spacing w:after="0" w:line="240" w:lineRule="auto"/>
      </w:pPr>
      <w:r>
        <w:separator/>
      </w:r>
    </w:p>
  </w:endnote>
  <w:endnote w:type="continuationSeparator" w:id="0">
    <w:p w14:paraId="0C899519" w14:textId="77777777" w:rsidR="00EA03EE" w:rsidRDefault="00E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Engravers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CB4B" w14:textId="77777777" w:rsidR="002B5A1D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3319D317" w14:textId="77777777" w:rsidR="002B5A1D" w:rsidRPr="00B100C9" w:rsidRDefault="00000000" w:rsidP="00B100C9">
    <w:pPr>
      <w:pStyle w:val="Podnoje"/>
      <w:jc w:val="center"/>
      <w:rPr>
        <w:rFonts w:ascii="Century Gothic" w:hAnsi="Century Gothic"/>
      </w:rPr>
    </w:pPr>
    <w:r w:rsidRPr="00B100C9">
      <w:rPr>
        <w:rFonts w:ascii="Century Gothic" w:hAnsi="Century Gothic"/>
      </w:rPr>
      <w:t>Trg Republike 1, 21000 Split</w:t>
    </w:r>
  </w:p>
  <w:p w14:paraId="00C3E0D7" w14:textId="77777777" w:rsidR="002B5A1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1EB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122D5571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70338745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14:paraId="03D95D41" w14:textId="77777777" w:rsidR="008A16C6" w:rsidRPr="007937B6" w:rsidRDefault="00000000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C779" w14:textId="77777777" w:rsidR="00EA03EE" w:rsidRDefault="00EA03EE">
      <w:pPr>
        <w:spacing w:after="0" w:line="240" w:lineRule="auto"/>
      </w:pPr>
      <w:r>
        <w:separator/>
      </w:r>
    </w:p>
  </w:footnote>
  <w:footnote w:type="continuationSeparator" w:id="0">
    <w:p w14:paraId="2D44707E" w14:textId="77777777" w:rsidR="00EA03EE" w:rsidRDefault="00E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C88F" w14:textId="77777777" w:rsidR="00A047E1" w:rsidRDefault="00000000" w:rsidP="001E3FA4">
    <w:pPr>
      <w:pStyle w:val="Zaglavlje"/>
      <w:tabs>
        <w:tab w:val="clear" w:pos="4513"/>
        <w:tab w:val="left" w:pos="3975"/>
      </w:tabs>
      <w:jc w:val="center"/>
      <w:rPr>
        <w:b/>
        <w:sz w:val="28"/>
      </w:rPr>
    </w:pPr>
    <w:r>
      <w:rPr>
        <w:noProof/>
        <w:lang w:eastAsia="hr-HR"/>
      </w:rPr>
      <w:pict w14:anchorId="6E2B9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8" o:spid="_x0000_s1026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  <w:r>
      <w:t xml:space="preserve">                                                                                                                                                          </w:t>
    </w:r>
    <w:r>
      <w:rPr>
        <w:b/>
        <w:sz w:val="28"/>
      </w:rPr>
      <w:t>PSI, PARE, PIŠTOLJI</w:t>
    </w:r>
  </w:p>
  <w:p w14:paraId="6AB908D0" w14:textId="77777777" w:rsidR="00840A0E" w:rsidRPr="00840A0E" w:rsidRDefault="00000000" w:rsidP="001E3FA4">
    <w:pPr>
      <w:pStyle w:val="Zaglavlje"/>
      <w:tabs>
        <w:tab w:val="clear" w:pos="4513"/>
        <w:tab w:val="left" w:pos="3975"/>
      </w:tabs>
      <w:jc w:val="center"/>
      <w:rPr>
        <w:sz w:val="20"/>
      </w:rPr>
    </w:pPr>
    <w:r>
      <w:rPr>
        <w:sz w:val="24"/>
      </w:rPr>
      <w:t xml:space="preserve">                                                                                                                                                 Ivan </w:t>
    </w:r>
    <w:proofErr w:type="spellStart"/>
    <w:r>
      <w:rPr>
        <w:sz w:val="24"/>
      </w:rPr>
      <w:t>Plazibat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1BF4" w14:textId="77777777" w:rsidR="007A35EA" w:rsidRDefault="00000000" w:rsidP="007A35EA">
    <w:pPr>
      <w:pStyle w:val="Zaglavlje"/>
      <w:tabs>
        <w:tab w:val="clear" w:pos="4513"/>
        <w:tab w:val="left" w:pos="3975"/>
      </w:tabs>
      <w:jc w:val="right"/>
      <w:rPr>
        <w:b/>
        <w:sz w:val="28"/>
      </w:rPr>
    </w:pPr>
    <w:r>
      <w:rPr>
        <w:rFonts w:ascii="Engravers MT" w:hAnsi="Engravers MT"/>
        <w:noProof/>
        <w:lang w:eastAsia="hr-HR"/>
      </w:rPr>
      <w:pict w14:anchorId="1862C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9" o:spid="_x0000_s1027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  <w:r>
      <w:rPr>
        <w:rFonts w:ascii="Engravers MT" w:hAnsi="Engravers MT"/>
      </w:rPr>
      <w:tab/>
    </w:r>
    <w:r>
      <w:rPr>
        <w:rFonts w:ascii="Engravers MT" w:hAnsi="Engravers MT"/>
      </w:rPr>
      <w:tab/>
    </w:r>
    <w:r>
      <w:t xml:space="preserve">                                                                                                                                                                         </w:t>
    </w:r>
  </w:p>
  <w:p w14:paraId="502E5E45" w14:textId="77777777" w:rsidR="007A35EA" w:rsidRPr="00840A0E" w:rsidRDefault="00000000" w:rsidP="007A35EA">
    <w:pPr>
      <w:pStyle w:val="Zaglavlje"/>
      <w:tabs>
        <w:tab w:val="clear" w:pos="4513"/>
        <w:tab w:val="left" w:pos="3975"/>
      </w:tabs>
      <w:jc w:val="right"/>
      <w:rPr>
        <w:sz w:val="20"/>
      </w:rPr>
    </w:pPr>
    <w:r>
      <w:rPr>
        <w:sz w:val="24"/>
      </w:rPr>
      <w:t xml:space="preserve">                                                                                                                                                 </w:t>
    </w:r>
  </w:p>
  <w:p w14:paraId="1DE355DC" w14:textId="77777777" w:rsidR="00D5174A" w:rsidRPr="00840A0E" w:rsidRDefault="00000000" w:rsidP="007A35EA">
    <w:pPr>
      <w:pStyle w:val="Zaglavlje"/>
      <w:tabs>
        <w:tab w:val="clear" w:pos="4513"/>
        <w:tab w:val="left" w:pos="5850"/>
        <w:tab w:val="left" w:pos="7770"/>
      </w:tabs>
      <w:rPr>
        <w:rFonts w:ascii="Engravers MT" w:hAnsi="Engravers MT"/>
      </w:rPr>
    </w:pPr>
  </w:p>
  <w:p w14:paraId="356195C4" w14:textId="77777777" w:rsidR="00D5174A" w:rsidRDefault="00000000" w:rsidP="00312771">
    <w:pPr>
      <w:pStyle w:val="Zaglavlje"/>
      <w:tabs>
        <w:tab w:val="clear" w:pos="4513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EF61" w14:textId="77777777" w:rsidR="00A047E1" w:rsidRDefault="00000000">
    <w:pPr>
      <w:pStyle w:val="Zaglavlje"/>
    </w:pPr>
    <w:r>
      <w:rPr>
        <w:noProof/>
        <w:lang w:eastAsia="hr-HR"/>
      </w:rPr>
      <w:pict w14:anchorId="1F823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7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BA"/>
    <w:rsid w:val="000C10A6"/>
    <w:rsid w:val="002E2C2F"/>
    <w:rsid w:val="00395CBD"/>
    <w:rsid w:val="003B12C5"/>
    <w:rsid w:val="00622979"/>
    <w:rsid w:val="00C10ABA"/>
    <w:rsid w:val="00EA03EE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07C89"/>
  <w15:chartTrackingRefBased/>
  <w15:docId w15:val="{30294093-A41F-4DCB-96D8-1AD541A5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1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10ABA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1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10ABA"/>
    <w:rPr>
      <w:lang w:val="hr-HR"/>
    </w:rPr>
  </w:style>
  <w:style w:type="character" w:styleId="Hiperveza">
    <w:name w:val="Hyperlink"/>
    <w:uiPriority w:val="99"/>
    <w:unhideWhenUsed/>
    <w:rsid w:val="00C10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m.h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3</cp:revision>
  <cp:lastPrinted>2022-08-25T06:56:00Z</cp:lastPrinted>
  <dcterms:created xsi:type="dcterms:W3CDTF">2022-08-16T09:35:00Z</dcterms:created>
  <dcterms:modified xsi:type="dcterms:W3CDTF">2022-08-25T06:57:00Z</dcterms:modified>
</cp:coreProperties>
</file>