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5C" w:rsidRPr="00723614" w:rsidRDefault="00531C5C" w:rsidP="00723614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>RAZDJEL:</w:t>
      </w:r>
      <w:r w:rsidR="00A85327" w:rsidRPr="00723614">
        <w:rPr>
          <w:rFonts w:ascii="Arial" w:hAnsi="Arial" w:cs="Arial"/>
          <w:b/>
        </w:rPr>
        <w:t>UPRAVNI ODJEL</w:t>
      </w:r>
      <w:r w:rsidR="00BB410C">
        <w:rPr>
          <w:rFonts w:ascii="Arial" w:hAnsi="Arial" w:cs="Arial"/>
          <w:b/>
        </w:rPr>
        <w:t xml:space="preserve"> ZA DRUŠTVENE DJELATNOSTI</w:t>
      </w:r>
    </w:p>
    <w:p w:rsidR="00531C5C" w:rsidRPr="00723614" w:rsidRDefault="00531C5C" w:rsidP="00723614">
      <w:pPr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ODSJEK:</w:t>
      </w:r>
      <w:r w:rsidR="00A85327" w:rsidRPr="00723614">
        <w:rPr>
          <w:rFonts w:ascii="Arial" w:hAnsi="Arial" w:cs="Arial"/>
        </w:rPr>
        <w:t xml:space="preserve"> ODSJEK</w:t>
      </w:r>
      <w:r w:rsidR="00BB410C">
        <w:rPr>
          <w:rFonts w:ascii="Arial" w:hAnsi="Arial" w:cs="Arial"/>
        </w:rPr>
        <w:t xml:space="preserve"> ZA KULTURU</w:t>
      </w:r>
    </w:p>
    <w:p w:rsidR="00531C5C" w:rsidRPr="00723614" w:rsidRDefault="00531C5C" w:rsidP="00723614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>PROGRAM:</w:t>
      </w:r>
      <w:r w:rsidR="000B7284">
        <w:rPr>
          <w:rFonts w:ascii="Arial" w:hAnsi="Arial" w:cs="Arial"/>
        </w:rPr>
        <w:t xml:space="preserve"> Kazališna i glazbeno scenska djelatnost /3500</w:t>
      </w:r>
      <w:r w:rsidR="00BB410C">
        <w:rPr>
          <w:rFonts w:ascii="Arial" w:hAnsi="Arial" w:cs="Arial"/>
        </w:rPr>
        <w:t>/</w:t>
      </w:r>
    </w:p>
    <w:p w:rsidR="001D1F62" w:rsidRPr="00723614" w:rsidRDefault="001D1F62" w:rsidP="00723614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>PROJEKT / AKTIVNOST:</w:t>
      </w:r>
      <w:r w:rsidR="00637C1D">
        <w:rPr>
          <w:rFonts w:ascii="Arial" w:hAnsi="Arial" w:cs="Arial"/>
          <w:b/>
        </w:rPr>
        <w:t xml:space="preserve"> </w:t>
      </w:r>
      <w:r w:rsidR="00BB410C">
        <w:rPr>
          <w:rFonts w:ascii="Arial" w:hAnsi="Arial" w:cs="Arial"/>
        </w:rPr>
        <w:t xml:space="preserve">Djelatnost </w:t>
      </w:r>
      <w:r w:rsidR="00637C1D">
        <w:rPr>
          <w:rFonts w:ascii="Arial" w:hAnsi="Arial" w:cs="Arial"/>
        </w:rPr>
        <w:t>Gradskog kazališta mladih</w:t>
      </w:r>
      <w:r w:rsidR="00BB410C">
        <w:rPr>
          <w:rFonts w:ascii="Arial" w:hAnsi="Arial" w:cs="Arial"/>
        </w:rPr>
        <w:t xml:space="preserve"> Split</w:t>
      </w:r>
      <w:r w:rsidR="00637C1D">
        <w:rPr>
          <w:rFonts w:ascii="Arial" w:hAnsi="Arial" w:cs="Arial"/>
        </w:rPr>
        <w:t xml:space="preserve"> /</w:t>
      </w:r>
      <w:r w:rsidR="009440F9">
        <w:rPr>
          <w:rFonts w:ascii="Arial" w:hAnsi="Arial" w:cs="Arial"/>
        </w:rPr>
        <w:t>A 350001/</w:t>
      </w:r>
    </w:p>
    <w:p w:rsidR="001A3089" w:rsidRPr="00723614" w:rsidRDefault="001D1F62" w:rsidP="00723614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>PLAN</w:t>
      </w:r>
      <w:r w:rsidR="001A3089" w:rsidRPr="00723614">
        <w:rPr>
          <w:rFonts w:ascii="Arial" w:hAnsi="Arial" w:cs="Arial"/>
          <w:b/>
        </w:rPr>
        <w:t>IRANI IZNOS:</w:t>
      </w:r>
      <w:r w:rsidR="00972881">
        <w:rPr>
          <w:rFonts w:ascii="Arial" w:hAnsi="Arial" w:cs="Arial"/>
          <w:b/>
        </w:rPr>
        <w:t xml:space="preserve"> 636</w:t>
      </w:r>
      <w:r w:rsidR="00C6702D">
        <w:rPr>
          <w:rFonts w:ascii="Arial" w:hAnsi="Arial" w:cs="Arial"/>
          <w:b/>
        </w:rPr>
        <w:t>.265,00</w:t>
      </w:r>
      <w:r w:rsidR="00BB410C">
        <w:rPr>
          <w:rFonts w:ascii="Arial" w:hAnsi="Arial" w:cs="Arial"/>
          <w:b/>
        </w:rPr>
        <w:t xml:space="preserve"> </w:t>
      </w:r>
      <w:r w:rsidR="001A3089" w:rsidRPr="00723614">
        <w:rPr>
          <w:rFonts w:ascii="Arial" w:hAnsi="Arial" w:cs="Arial"/>
          <w:b/>
        </w:rPr>
        <w:t>€</w:t>
      </w:r>
    </w:p>
    <w:p w:rsidR="001A3089" w:rsidRPr="00723614" w:rsidRDefault="001A3089" w:rsidP="00723614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NOVI IZNOS: </w:t>
      </w:r>
      <w:r w:rsidR="00C6702D">
        <w:rPr>
          <w:rFonts w:ascii="Arial" w:hAnsi="Arial" w:cs="Arial"/>
          <w:b/>
        </w:rPr>
        <w:t>742.957,00</w:t>
      </w:r>
      <w:r w:rsidRPr="00723614">
        <w:rPr>
          <w:rFonts w:ascii="Arial" w:hAnsi="Arial" w:cs="Arial"/>
          <w:b/>
        </w:rPr>
        <w:t xml:space="preserve"> €</w:t>
      </w:r>
    </w:p>
    <w:p w:rsidR="00531C5C" w:rsidRPr="00723614" w:rsidRDefault="001D1F62" w:rsidP="00723614">
      <w:pPr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="00C6702D">
        <w:rPr>
          <w:rFonts w:ascii="Arial" w:hAnsi="Arial" w:cs="Arial"/>
          <w:b/>
        </w:rPr>
        <w:t xml:space="preserve"> </w:t>
      </w:r>
      <w:r w:rsidR="001A3089" w:rsidRPr="00723614">
        <w:rPr>
          <w:rFonts w:ascii="Arial" w:hAnsi="Arial" w:cs="Arial"/>
        </w:rPr>
        <w:t>U</w:t>
      </w:r>
      <w:r w:rsidRPr="00723614">
        <w:rPr>
          <w:rFonts w:ascii="Arial" w:hAnsi="Arial" w:cs="Arial"/>
        </w:rPr>
        <w:t xml:space="preserve">kratko opisati </w:t>
      </w:r>
      <w:r w:rsidR="001A3089" w:rsidRPr="00723614">
        <w:rPr>
          <w:rFonts w:ascii="Arial" w:hAnsi="Arial" w:cs="Arial"/>
        </w:rPr>
        <w:t xml:space="preserve">razloge </w:t>
      </w:r>
      <w:r w:rsidR="001A3089" w:rsidRPr="00784E4B">
        <w:rPr>
          <w:rFonts w:ascii="Arial" w:hAnsi="Arial" w:cs="Arial"/>
        </w:rPr>
        <w:t xml:space="preserve">umanjenja/uvećanja </w:t>
      </w:r>
      <w:r w:rsidR="001A3089" w:rsidRPr="00723614">
        <w:rPr>
          <w:rFonts w:ascii="Arial" w:hAnsi="Arial" w:cs="Arial"/>
        </w:rPr>
        <w:t>iznosa</w:t>
      </w:r>
      <w:r w:rsidR="00A85327" w:rsidRPr="00723614">
        <w:rPr>
          <w:rFonts w:ascii="Arial" w:hAnsi="Arial" w:cs="Arial"/>
        </w:rPr>
        <w:t>(</w:t>
      </w:r>
      <w:r w:rsidR="001A3089" w:rsidRPr="00723614">
        <w:rPr>
          <w:rFonts w:ascii="Arial" w:hAnsi="Arial" w:cs="Arial"/>
        </w:rPr>
        <w:t>mala slova/ Arial 11</w:t>
      </w:r>
      <w:r w:rsidR="00A85327" w:rsidRPr="00723614">
        <w:rPr>
          <w:rFonts w:ascii="Arial" w:hAnsi="Arial" w:cs="Arial"/>
        </w:rPr>
        <w:t>)</w:t>
      </w:r>
    </w:p>
    <w:p w:rsidR="00377D9A" w:rsidRDefault="00BD3AB2" w:rsidP="00F36AA3">
      <w:pPr>
        <w:ind w:left="708"/>
      </w:pPr>
      <w:r>
        <w:t>Uk</w:t>
      </w:r>
      <w:r w:rsidR="00E55D16">
        <w:t>u</w:t>
      </w:r>
      <w:r>
        <w:t xml:space="preserve">pno </w:t>
      </w:r>
      <w:r w:rsidR="00C6702D">
        <w:t xml:space="preserve">povećanje financijskog plana Gradskog kazališta </w:t>
      </w:r>
      <w:r>
        <w:t xml:space="preserve"> za 2023.</w:t>
      </w:r>
      <w:r w:rsidR="00394C63">
        <w:t xml:space="preserve"> </w:t>
      </w:r>
      <w:r w:rsidR="00097019">
        <w:t xml:space="preserve">na ovoj </w:t>
      </w:r>
      <w:r w:rsidR="00394C63">
        <w:t xml:space="preserve"> </w:t>
      </w:r>
      <w:r w:rsidR="00097019">
        <w:t xml:space="preserve"> i</w:t>
      </w:r>
      <w:r>
        <w:t xml:space="preserve">znosi </w:t>
      </w:r>
      <w:r w:rsidR="00F36AA3" w:rsidRPr="00F36AA3">
        <w:t>106.692,00</w:t>
      </w:r>
      <w:r>
        <w:t xml:space="preserve"> eura</w:t>
      </w:r>
      <w:r w:rsidR="00377D9A">
        <w:t>.</w:t>
      </w:r>
    </w:p>
    <w:p w:rsidR="00596261" w:rsidRDefault="00596261" w:rsidP="00377D9A"/>
    <w:tbl>
      <w:tblPr>
        <w:tblStyle w:val="Reetkatablice"/>
        <w:tblW w:w="0" w:type="auto"/>
        <w:tblLook w:val="04A0"/>
      </w:tblPr>
      <w:tblGrid>
        <w:gridCol w:w="1668"/>
        <w:gridCol w:w="2976"/>
        <w:gridCol w:w="2322"/>
        <w:gridCol w:w="2322"/>
      </w:tblGrid>
      <w:tr w:rsidR="00596261" w:rsidTr="00596261">
        <w:tc>
          <w:tcPr>
            <w:tcW w:w="1668" w:type="dxa"/>
          </w:tcPr>
          <w:p w:rsidR="00596261" w:rsidRDefault="00596261" w:rsidP="00377D9A">
            <w:r>
              <w:t>Izvor</w:t>
            </w:r>
          </w:p>
        </w:tc>
        <w:tc>
          <w:tcPr>
            <w:tcW w:w="2976" w:type="dxa"/>
          </w:tcPr>
          <w:p w:rsidR="00596261" w:rsidRDefault="00596261" w:rsidP="00E458BF">
            <w:pPr>
              <w:jc w:val="center"/>
            </w:pPr>
            <w:r>
              <w:t>Izvorni plan</w:t>
            </w:r>
          </w:p>
        </w:tc>
        <w:tc>
          <w:tcPr>
            <w:tcW w:w="2322" w:type="dxa"/>
          </w:tcPr>
          <w:p w:rsidR="00596261" w:rsidRDefault="00596261" w:rsidP="00377D9A">
            <w:r>
              <w:t>Povećanje/smanjenje</w:t>
            </w:r>
          </w:p>
        </w:tc>
        <w:tc>
          <w:tcPr>
            <w:tcW w:w="2322" w:type="dxa"/>
          </w:tcPr>
          <w:p w:rsidR="00596261" w:rsidRDefault="00596261" w:rsidP="00A00424">
            <w:pPr>
              <w:jc w:val="center"/>
            </w:pPr>
            <w:r>
              <w:t>Novi plan</w:t>
            </w:r>
          </w:p>
        </w:tc>
      </w:tr>
      <w:tr w:rsidR="00596261" w:rsidTr="00596261">
        <w:tc>
          <w:tcPr>
            <w:tcW w:w="1668" w:type="dxa"/>
          </w:tcPr>
          <w:p w:rsidR="00596261" w:rsidRDefault="00596261" w:rsidP="00596261">
            <w:r>
              <w:t xml:space="preserve"> 111</w:t>
            </w:r>
          </w:p>
        </w:tc>
        <w:tc>
          <w:tcPr>
            <w:tcW w:w="2976" w:type="dxa"/>
          </w:tcPr>
          <w:p w:rsidR="00596261" w:rsidRDefault="00A47ED9" w:rsidP="00E458BF">
            <w:pPr>
              <w:jc w:val="right"/>
            </w:pPr>
            <w:r>
              <w:t>561.369,00</w:t>
            </w:r>
          </w:p>
        </w:tc>
        <w:tc>
          <w:tcPr>
            <w:tcW w:w="2322" w:type="dxa"/>
          </w:tcPr>
          <w:p w:rsidR="00596261" w:rsidRDefault="00972881" w:rsidP="00A00424">
            <w:pPr>
              <w:jc w:val="right"/>
            </w:pPr>
            <w:r>
              <w:t>0,00</w:t>
            </w:r>
          </w:p>
        </w:tc>
        <w:tc>
          <w:tcPr>
            <w:tcW w:w="2322" w:type="dxa"/>
          </w:tcPr>
          <w:p w:rsidR="00596261" w:rsidRDefault="00A47ED9" w:rsidP="00A00424">
            <w:pPr>
              <w:jc w:val="right"/>
            </w:pPr>
            <w:r>
              <w:t>561.369,00</w:t>
            </w:r>
          </w:p>
        </w:tc>
      </w:tr>
      <w:tr w:rsidR="00A47ED9" w:rsidTr="00596261">
        <w:tc>
          <w:tcPr>
            <w:tcW w:w="1668" w:type="dxa"/>
          </w:tcPr>
          <w:p w:rsidR="00A47ED9" w:rsidRDefault="00A47ED9" w:rsidP="00377D9A">
            <w:r>
              <w:t>311</w:t>
            </w:r>
          </w:p>
        </w:tc>
        <w:tc>
          <w:tcPr>
            <w:tcW w:w="2976" w:type="dxa"/>
          </w:tcPr>
          <w:p w:rsidR="00A47ED9" w:rsidRDefault="00A47ED9" w:rsidP="00E458BF">
            <w:pPr>
              <w:jc w:val="right"/>
            </w:pPr>
            <w:r>
              <w:t>9.861,00</w:t>
            </w:r>
          </w:p>
        </w:tc>
        <w:tc>
          <w:tcPr>
            <w:tcW w:w="2322" w:type="dxa"/>
          </w:tcPr>
          <w:p w:rsidR="00A47ED9" w:rsidRDefault="00972881" w:rsidP="00A00424">
            <w:pPr>
              <w:jc w:val="right"/>
            </w:pPr>
            <w:r>
              <w:t>6.999,00</w:t>
            </w:r>
          </w:p>
        </w:tc>
        <w:tc>
          <w:tcPr>
            <w:tcW w:w="2322" w:type="dxa"/>
          </w:tcPr>
          <w:p w:rsidR="00A47ED9" w:rsidRDefault="00A47ED9" w:rsidP="00A00424">
            <w:pPr>
              <w:jc w:val="right"/>
            </w:pPr>
            <w:r>
              <w:t>16.860,00</w:t>
            </w:r>
          </w:p>
        </w:tc>
      </w:tr>
      <w:tr w:rsidR="00596261" w:rsidTr="00596261">
        <w:tc>
          <w:tcPr>
            <w:tcW w:w="1668" w:type="dxa"/>
          </w:tcPr>
          <w:p w:rsidR="00596261" w:rsidRDefault="00596261" w:rsidP="00377D9A">
            <w:r>
              <w:t>431</w:t>
            </w:r>
          </w:p>
        </w:tc>
        <w:tc>
          <w:tcPr>
            <w:tcW w:w="2976" w:type="dxa"/>
          </w:tcPr>
          <w:p w:rsidR="00596261" w:rsidRDefault="005B5501" w:rsidP="00E458BF">
            <w:pPr>
              <w:jc w:val="right"/>
            </w:pPr>
            <w:r>
              <w:t>61.053,00</w:t>
            </w:r>
          </w:p>
        </w:tc>
        <w:tc>
          <w:tcPr>
            <w:tcW w:w="2322" w:type="dxa"/>
          </w:tcPr>
          <w:p w:rsidR="00596261" w:rsidRDefault="009457FB" w:rsidP="00A00424">
            <w:pPr>
              <w:jc w:val="right"/>
            </w:pPr>
            <w:r>
              <w:t>91.947,00</w:t>
            </w:r>
          </w:p>
        </w:tc>
        <w:tc>
          <w:tcPr>
            <w:tcW w:w="2322" w:type="dxa"/>
          </w:tcPr>
          <w:p w:rsidR="00596261" w:rsidRDefault="005B5501" w:rsidP="00A00424">
            <w:pPr>
              <w:jc w:val="right"/>
            </w:pPr>
            <w:r>
              <w:t>153.000,00</w:t>
            </w:r>
          </w:p>
        </w:tc>
      </w:tr>
      <w:tr w:rsidR="00596261" w:rsidTr="00596261">
        <w:tc>
          <w:tcPr>
            <w:tcW w:w="1668" w:type="dxa"/>
          </w:tcPr>
          <w:p w:rsidR="00596261" w:rsidRDefault="00596261" w:rsidP="00377D9A">
            <w:r>
              <w:t>531</w:t>
            </w:r>
          </w:p>
        </w:tc>
        <w:tc>
          <w:tcPr>
            <w:tcW w:w="2976" w:type="dxa"/>
          </w:tcPr>
          <w:p w:rsidR="00596261" w:rsidRDefault="005B5501" w:rsidP="00E458BF">
            <w:pPr>
              <w:jc w:val="right"/>
            </w:pPr>
            <w:r>
              <w:t>3.982,00</w:t>
            </w:r>
          </w:p>
        </w:tc>
        <w:tc>
          <w:tcPr>
            <w:tcW w:w="2322" w:type="dxa"/>
          </w:tcPr>
          <w:p w:rsidR="00596261" w:rsidRDefault="00D82BB4" w:rsidP="00A00424">
            <w:pPr>
              <w:jc w:val="right"/>
            </w:pPr>
            <w:r>
              <w:t>5.648,00</w:t>
            </w:r>
          </w:p>
        </w:tc>
        <w:tc>
          <w:tcPr>
            <w:tcW w:w="2322" w:type="dxa"/>
          </w:tcPr>
          <w:p w:rsidR="00596261" w:rsidRDefault="00A00424" w:rsidP="00A00424">
            <w:pPr>
              <w:jc w:val="right"/>
            </w:pPr>
            <w:r>
              <w:t>9.630,00</w:t>
            </w:r>
          </w:p>
        </w:tc>
      </w:tr>
      <w:tr w:rsidR="00596261" w:rsidTr="00596261">
        <w:tc>
          <w:tcPr>
            <w:tcW w:w="1668" w:type="dxa"/>
          </w:tcPr>
          <w:p w:rsidR="00596261" w:rsidRDefault="00596261" w:rsidP="00377D9A">
            <w:r>
              <w:t>541</w:t>
            </w:r>
          </w:p>
        </w:tc>
        <w:tc>
          <w:tcPr>
            <w:tcW w:w="2976" w:type="dxa"/>
          </w:tcPr>
          <w:p w:rsidR="00596261" w:rsidRDefault="002129B0" w:rsidP="00E458BF">
            <w:pPr>
              <w:jc w:val="right"/>
            </w:pPr>
            <w:r>
              <w:t>0,00</w:t>
            </w:r>
          </w:p>
        </w:tc>
        <w:tc>
          <w:tcPr>
            <w:tcW w:w="2322" w:type="dxa"/>
          </w:tcPr>
          <w:p w:rsidR="00596261" w:rsidRDefault="002129B0" w:rsidP="00A00424">
            <w:pPr>
              <w:jc w:val="right"/>
            </w:pPr>
            <w:r>
              <w:t>2.000,00</w:t>
            </w:r>
          </w:p>
        </w:tc>
        <w:tc>
          <w:tcPr>
            <w:tcW w:w="2322" w:type="dxa"/>
          </w:tcPr>
          <w:p w:rsidR="00596261" w:rsidRDefault="00A00424" w:rsidP="00A00424">
            <w:pPr>
              <w:jc w:val="right"/>
            </w:pPr>
            <w:r>
              <w:t>2.000,00</w:t>
            </w:r>
          </w:p>
        </w:tc>
      </w:tr>
      <w:tr w:rsidR="00126E90" w:rsidTr="00596261">
        <w:tc>
          <w:tcPr>
            <w:tcW w:w="1668" w:type="dxa"/>
          </w:tcPr>
          <w:p w:rsidR="00126E90" w:rsidRDefault="00126E90" w:rsidP="00377D9A">
            <w:r>
              <w:t>611</w:t>
            </w:r>
          </w:p>
        </w:tc>
        <w:tc>
          <w:tcPr>
            <w:tcW w:w="2976" w:type="dxa"/>
          </w:tcPr>
          <w:p w:rsidR="00126E90" w:rsidRDefault="00126E90" w:rsidP="00E458BF">
            <w:pPr>
              <w:jc w:val="right"/>
            </w:pPr>
          </w:p>
        </w:tc>
        <w:tc>
          <w:tcPr>
            <w:tcW w:w="2322" w:type="dxa"/>
          </w:tcPr>
          <w:p w:rsidR="00126E90" w:rsidRPr="008D409D" w:rsidRDefault="008D409D" w:rsidP="00A00424">
            <w:pPr>
              <w:jc w:val="right"/>
            </w:pPr>
            <w:r w:rsidRPr="008D409D">
              <w:t>98,00</w:t>
            </w:r>
          </w:p>
        </w:tc>
        <w:tc>
          <w:tcPr>
            <w:tcW w:w="2322" w:type="dxa"/>
          </w:tcPr>
          <w:p w:rsidR="00126E90" w:rsidRDefault="00A00424" w:rsidP="00A00424">
            <w:pPr>
              <w:jc w:val="right"/>
            </w:pPr>
            <w:r>
              <w:t>98,00</w:t>
            </w:r>
          </w:p>
        </w:tc>
      </w:tr>
      <w:tr w:rsidR="00126E90" w:rsidTr="00596261">
        <w:tc>
          <w:tcPr>
            <w:tcW w:w="1668" w:type="dxa"/>
          </w:tcPr>
          <w:p w:rsidR="00126E90" w:rsidRDefault="00A47ED9" w:rsidP="00377D9A">
            <w:r>
              <w:t>Ukupno:</w:t>
            </w:r>
          </w:p>
        </w:tc>
        <w:tc>
          <w:tcPr>
            <w:tcW w:w="2976" w:type="dxa"/>
          </w:tcPr>
          <w:p w:rsidR="00126E90" w:rsidRDefault="00E458BF" w:rsidP="00E458BF">
            <w:pPr>
              <w:jc w:val="right"/>
            </w:pPr>
            <w:r>
              <w:t>636.265,00</w:t>
            </w:r>
          </w:p>
        </w:tc>
        <w:tc>
          <w:tcPr>
            <w:tcW w:w="2322" w:type="dxa"/>
          </w:tcPr>
          <w:p w:rsidR="00126E90" w:rsidRPr="001F78A5" w:rsidRDefault="00E1147B" w:rsidP="00A00424">
            <w:pPr>
              <w:jc w:val="right"/>
            </w:pPr>
            <w:r>
              <w:t>106.692</w:t>
            </w:r>
            <w:r w:rsidR="001F78A5" w:rsidRPr="001F78A5">
              <w:t>,00</w:t>
            </w:r>
          </w:p>
        </w:tc>
        <w:tc>
          <w:tcPr>
            <w:tcW w:w="2322" w:type="dxa"/>
          </w:tcPr>
          <w:p w:rsidR="00126E90" w:rsidRDefault="0078563E" w:rsidP="00A00424">
            <w:pPr>
              <w:jc w:val="right"/>
            </w:pPr>
            <w:r>
              <w:t>742.957,00</w:t>
            </w:r>
          </w:p>
        </w:tc>
      </w:tr>
    </w:tbl>
    <w:p w:rsidR="00596261" w:rsidRDefault="00596261" w:rsidP="00377D9A"/>
    <w:p w:rsidR="00836229" w:rsidRDefault="00394C63" w:rsidP="00097019">
      <w:pPr>
        <w:pStyle w:val="Odlomakpopisa"/>
        <w:numPr>
          <w:ilvl w:val="0"/>
          <w:numId w:val="2"/>
        </w:numPr>
        <w:jc w:val="both"/>
      </w:pPr>
      <w:r>
        <w:t>U okviru redovne aktivnosti Gradskog kazališta mladih</w:t>
      </w:r>
      <w:r w:rsidR="00836229">
        <w:t>,</w:t>
      </w:r>
      <w:r>
        <w:t xml:space="preserve"> iz gradskih izvora</w:t>
      </w:r>
      <w:r w:rsidR="00836229">
        <w:t xml:space="preserve"> /</w:t>
      </w:r>
      <w:r w:rsidR="00377D9A">
        <w:t>111/</w:t>
      </w:r>
      <w:r w:rsidR="00836229">
        <w:t>, sveukupno gledano</w:t>
      </w:r>
      <w:r w:rsidR="00CE08E4">
        <w:t>,</w:t>
      </w:r>
      <w:r w:rsidR="00377D9A">
        <w:t xml:space="preserve"> </w:t>
      </w:r>
      <w:r w:rsidR="00E12046">
        <w:t>nije bi</w:t>
      </w:r>
      <w:r>
        <w:t xml:space="preserve">lo </w:t>
      </w:r>
      <w:r w:rsidR="00B456DA">
        <w:t xml:space="preserve">povećanja </w:t>
      </w:r>
      <w:r w:rsidR="00836229">
        <w:t xml:space="preserve"> </w:t>
      </w:r>
      <w:r w:rsidR="00B456DA">
        <w:t xml:space="preserve">niti </w:t>
      </w:r>
      <w:r w:rsidR="00836229">
        <w:t xml:space="preserve"> </w:t>
      </w:r>
      <w:r w:rsidR="00B456DA">
        <w:t xml:space="preserve">smanjenja </w:t>
      </w:r>
      <w:r w:rsidR="00E12046">
        <w:t xml:space="preserve"> financijskog </w:t>
      </w:r>
      <w:r w:rsidR="00B456DA">
        <w:t xml:space="preserve">plana.  </w:t>
      </w:r>
    </w:p>
    <w:p w:rsidR="00836229" w:rsidRDefault="00B456DA" w:rsidP="00836229">
      <w:pPr>
        <w:pStyle w:val="Odlomakpopisa"/>
        <w:jc w:val="both"/>
      </w:pPr>
      <w:r>
        <w:t xml:space="preserve">Preraspodijeljene </w:t>
      </w:r>
      <w:r w:rsidR="00836229">
        <w:t xml:space="preserve"> </w:t>
      </w:r>
      <w:r>
        <w:t>su  pojedine  planske pozicije na način da su za neiskorištena sredstva za plaće povećani programski troškovi,</w:t>
      </w:r>
      <w:r w:rsidR="00836229">
        <w:t xml:space="preserve"> dok su ostali rashodi za zaposlene </w:t>
      </w:r>
      <w:r w:rsidR="00CE08E4">
        <w:t xml:space="preserve">(nagrade, otpremnine, regres za godišnji odmor) </w:t>
      </w:r>
      <w:r w:rsidR="00836229">
        <w:t>rebalansom usklađeni sa već realiziranim isplatama iz nadležnog proračuna.</w:t>
      </w:r>
    </w:p>
    <w:p w:rsidR="00EF05EC" w:rsidRDefault="00CE08E4" w:rsidP="000E7664">
      <w:pPr>
        <w:pStyle w:val="Odlomakpopisa"/>
        <w:jc w:val="both"/>
      </w:pPr>
      <w:r>
        <w:t>Planirana sredstva za plaće su ostala neiskorištena iz raz</w:t>
      </w:r>
      <w:r w:rsidR="00EF05EC">
        <w:t>loga umirovljenja radnika i dugotrajnih bolovanja.</w:t>
      </w:r>
    </w:p>
    <w:p w:rsidR="00EF05EC" w:rsidRDefault="00EF05EC" w:rsidP="00EF05EC">
      <w:pPr>
        <w:pStyle w:val="Odlomakpopisa"/>
        <w:numPr>
          <w:ilvl w:val="0"/>
          <w:numId w:val="2"/>
        </w:numPr>
        <w:jc w:val="both"/>
      </w:pPr>
      <w:r>
        <w:t>Vlastiti prihodi od najmova prostora /izvor 311/ su povećani sa 9.861,</w:t>
      </w:r>
      <w:r w:rsidR="00A824B6">
        <w:t>00 eura na 16.860,00 eura te</w:t>
      </w:r>
      <w:r w:rsidR="000E7664">
        <w:t xml:space="preserve"> su povećan</w:t>
      </w:r>
      <w:r>
        <w:t xml:space="preserve">i </w:t>
      </w:r>
      <w:r w:rsidR="000E7664">
        <w:t>programski troškovi</w:t>
      </w:r>
      <w:r>
        <w:t xml:space="preserve"> za  6.999,00 eura.</w:t>
      </w:r>
    </w:p>
    <w:p w:rsidR="00EF05EC" w:rsidRDefault="00E47A48" w:rsidP="00EF05EC">
      <w:pPr>
        <w:pStyle w:val="Odlomakpopisa"/>
        <w:numPr>
          <w:ilvl w:val="0"/>
          <w:numId w:val="2"/>
        </w:numPr>
        <w:jc w:val="both"/>
      </w:pPr>
      <w:r>
        <w:t xml:space="preserve">Financijski plan prihoda za posebne namjene /izvor 431 - ulaznice, dramska studija, gostovanja sa predstavama/ </w:t>
      </w:r>
      <w:r w:rsidR="00E64B47">
        <w:t>bilježi</w:t>
      </w:r>
      <w:r>
        <w:t xml:space="preserve"> povećan</w:t>
      </w:r>
      <w:r w:rsidR="00E64B47">
        <w:t>je</w:t>
      </w:r>
      <w:r>
        <w:t xml:space="preserve"> za</w:t>
      </w:r>
      <w:r w:rsidR="00E64B47">
        <w:t xml:space="preserve"> 150% u odnosu</w:t>
      </w:r>
      <w:r w:rsidR="002946B2">
        <w:t xml:space="preserve"> na prvi rebalans. Navedena procjena razmjerna je porastu interesa korisnika naših programa. Iz ovog izvora planirano je i uvećanje </w:t>
      </w:r>
      <w:r w:rsidR="00CF43F3">
        <w:t>pojedini</w:t>
      </w:r>
      <w:r w:rsidR="002946B2">
        <w:t>h</w:t>
      </w:r>
      <w:r w:rsidR="00CF43F3">
        <w:t xml:space="preserve"> fiksni</w:t>
      </w:r>
      <w:r w:rsidR="002946B2">
        <w:t>h</w:t>
      </w:r>
      <w:r w:rsidR="00CF43F3">
        <w:t xml:space="preserve"> i programski</w:t>
      </w:r>
      <w:r w:rsidR="002946B2">
        <w:t>h troškova</w:t>
      </w:r>
      <w:r w:rsidR="00CF43F3">
        <w:t>.</w:t>
      </w:r>
    </w:p>
    <w:p w:rsidR="00FA060E" w:rsidRDefault="00FA060E" w:rsidP="00FA060E">
      <w:pPr>
        <w:pStyle w:val="Odlomakpopisa"/>
        <w:numPr>
          <w:ilvl w:val="0"/>
          <w:numId w:val="2"/>
        </w:numPr>
        <w:jc w:val="both"/>
      </w:pPr>
      <w:r>
        <w:t>Na izvoru Pomoći iz nenadležnog proračuna /531 – državni proračun/ imamo povećanje planskih pozicija sukladno ugovorenim programima.</w:t>
      </w:r>
    </w:p>
    <w:p w:rsidR="00FA060E" w:rsidRDefault="00FA060E" w:rsidP="00FA060E">
      <w:pPr>
        <w:pStyle w:val="Odlomakpopisa"/>
        <w:jc w:val="both"/>
      </w:pPr>
      <w:r>
        <w:t>Ministarstvo</w:t>
      </w:r>
      <w:r w:rsidR="00DB1123">
        <w:t xml:space="preserve"> kulture</w:t>
      </w:r>
      <w:r>
        <w:t xml:space="preserve"> odobrilo je Gradskom kazalištu mladih ukupno 9.630,00 eura </w:t>
      </w:r>
      <w:r w:rsidR="00DB1123">
        <w:t xml:space="preserve">i to </w:t>
      </w:r>
      <w:r>
        <w:t xml:space="preserve">za premijerni program, program međunarodne kulturne </w:t>
      </w:r>
      <w:r w:rsidR="00DB1123">
        <w:t>suradnje (Jezično – edukativne predstave u Njemačkoj) i gostovanja s repertoarnim predstavama u Republici Hrvatskoj.</w:t>
      </w:r>
    </w:p>
    <w:p w:rsidR="004C27B4" w:rsidRDefault="004C27B4" w:rsidP="000E7664">
      <w:pPr>
        <w:jc w:val="both"/>
      </w:pPr>
    </w:p>
    <w:p w:rsidR="004C27B4" w:rsidRDefault="004C27B4" w:rsidP="000E7664">
      <w:pPr>
        <w:jc w:val="both"/>
      </w:pPr>
    </w:p>
    <w:p w:rsidR="00404FCE" w:rsidRDefault="008B67AA" w:rsidP="00404FCE">
      <w:pPr>
        <w:pStyle w:val="Odlomakpopisa"/>
        <w:numPr>
          <w:ilvl w:val="0"/>
          <w:numId w:val="2"/>
        </w:numPr>
        <w:jc w:val="both"/>
      </w:pPr>
      <w:r>
        <w:t>Prijedlog</w:t>
      </w:r>
      <w:r w:rsidR="00AB7AC9">
        <w:t xml:space="preserve"> rebalansa financijskog plana za 2023. godinu </w:t>
      </w:r>
      <w:r>
        <w:t>uključuje i</w:t>
      </w:r>
      <w:r w:rsidR="00AB7AC9">
        <w:t xml:space="preserve"> tekuće pomoći iz nenadležnog županijskog proračuna (</w:t>
      </w:r>
      <w:r>
        <w:t xml:space="preserve">izvor </w:t>
      </w:r>
      <w:r w:rsidR="00AB7AC9">
        <w:t xml:space="preserve">541). </w:t>
      </w:r>
    </w:p>
    <w:p w:rsidR="00836229" w:rsidRDefault="00404FCE" w:rsidP="00404FCE">
      <w:pPr>
        <w:pStyle w:val="Odlomakpopisa"/>
        <w:jc w:val="both"/>
      </w:pPr>
      <w:r>
        <w:t>Temeljem sudjelovanja na natječaju za financiranje programa iz područja kulture i društvenih događanja u 2023., Gradskom kazalištu mladih je odobreno 2.000,00 eura za predstavu „Klopka za dosadu“.  Iz ovog izvora pokrit će se trošak autorskog honorara.</w:t>
      </w:r>
    </w:p>
    <w:p w:rsidR="00097019" w:rsidRDefault="006B0B2D" w:rsidP="00097019">
      <w:pPr>
        <w:pStyle w:val="Odlomakpopisa"/>
        <w:numPr>
          <w:ilvl w:val="0"/>
          <w:numId w:val="2"/>
        </w:numPr>
        <w:jc w:val="both"/>
      </w:pPr>
      <w:r>
        <w:t>Planirane donacije (izvor 611) iznose 98,00 eura</w:t>
      </w:r>
      <w:r w:rsidR="009A6418">
        <w:t xml:space="preserve"> </w:t>
      </w:r>
      <w:r>
        <w:t xml:space="preserve"> sukladno procijenjenoj vrijednosti doniranog fotokopirnog uređaja i printera.</w:t>
      </w:r>
    </w:p>
    <w:p w:rsidR="00097019" w:rsidRDefault="00097019" w:rsidP="00097019">
      <w:pPr>
        <w:pStyle w:val="Odlomakpopisa"/>
        <w:jc w:val="both"/>
      </w:pPr>
      <w:r>
        <w:t>Donacija je namjenska i iskorištena je namjens</w:t>
      </w:r>
      <w:r w:rsidR="006B0B2D">
        <w:t>ki.</w:t>
      </w:r>
    </w:p>
    <w:p w:rsidR="00097019" w:rsidRDefault="00097019" w:rsidP="00097019"/>
    <w:p w:rsidR="00097019" w:rsidRDefault="00097019" w:rsidP="00097019"/>
    <w:p w:rsidR="00097019" w:rsidRDefault="00097019" w:rsidP="00097019"/>
    <w:p w:rsidR="00097019" w:rsidRDefault="00097019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F33B9A" w:rsidRDefault="00F33B9A" w:rsidP="00097019"/>
    <w:p w:rsidR="00377D9A" w:rsidRPr="00723614" w:rsidRDefault="00377D9A" w:rsidP="00377D9A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>RAZDJEL:UPRAVNI ODJEL</w:t>
      </w:r>
      <w:r>
        <w:rPr>
          <w:rFonts w:ascii="Arial" w:hAnsi="Arial" w:cs="Arial"/>
          <w:b/>
        </w:rPr>
        <w:t xml:space="preserve"> ZA DRUŠTVENE DJELATNOSTI</w:t>
      </w:r>
    </w:p>
    <w:p w:rsidR="00377D9A" w:rsidRPr="00723614" w:rsidRDefault="00377D9A" w:rsidP="00377D9A">
      <w:pPr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ODSJEK:</w:t>
      </w:r>
      <w:r w:rsidRPr="00723614">
        <w:rPr>
          <w:rFonts w:ascii="Arial" w:hAnsi="Arial" w:cs="Arial"/>
        </w:rPr>
        <w:t xml:space="preserve"> ODSJEK</w:t>
      </w:r>
      <w:r>
        <w:rPr>
          <w:rFonts w:ascii="Arial" w:hAnsi="Arial" w:cs="Arial"/>
        </w:rPr>
        <w:t xml:space="preserve"> ZA KULTURU</w:t>
      </w:r>
    </w:p>
    <w:p w:rsidR="00377D9A" w:rsidRPr="00723614" w:rsidRDefault="00377D9A" w:rsidP="00377D9A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>PROGRAM:</w:t>
      </w:r>
      <w:r w:rsidR="001775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Stručna vijeća i tijela - 3505</w:t>
      </w:r>
    </w:p>
    <w:p w:rsidR="00377D9A" w:rsidRPr="00723614" w:rsidRDefault="00377D9A" w:rsidP="00377D9A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>PROJEKT / AKTIVNOST:</w:t>
      </w:r>
      <w:r w:rsidR="0017758A">
        <w:rPr>
          <w:rFonts w:ascii="Arial" w:hAnsi="Arial" w:cs="Arial"/>
          <w:b/>
        </w:rPr>
        <w:t xml:space="preserve"> </w:t>
      </w:r>
      <w:r w:rsidR="0017758A" w:rsidRPr="0017758A">
        <w:rPr>
          <w:rFonts w:ascii="Arial" w:hAnsi="Arial" w:cs="Arial"/>
        </w:rPr>
        <w:t>Kazališno</w:t>
      </w:r>
      <w:r w:rsidRPr="0017758A">
        <w:rPr>
          <w:rFonts w:ascii="Arial" w:hAnsi="Arial" w:cs="Arial"/>
        </w:rPr>
        <w:t xml:space="preserve"> vijeće – A350501</w:t>
      </w:r>
    </w:p>
    <w:p w:rsidR="00377D9A" w:rsidRPr="00723614" w:rsidRDefault="00377D9A" w:rsidP="00377D9A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F12118">
        <w:rPr>
          <w:rFonts w:ascii="Arial" w:hAnsi="Arial" w:cs="Arial"/>
          <w:b/>
        </w:rPr>
        <w:t>4.886</w:t>
      </w:r>
      <w:r>
        <w:rPr>
          <w:rFonts w:ascii="Arial" w:hAnsi="Arial" w:cs="Arial"/>
          <w:b/>
        </w:rPr>
        <w:t>,00</w:t>
      </w:r>
      <w:r w:rsidRPr="00723614">
        <w:rPr>
          <w:rFonts w:ascii="Arial" w:hAnsi="Arial" w:cs="Arial"/>
          <w:b/>
        </w:rPr>
        <w:t>€</w:t>
      </w:r>
    </w:p>
    <w:p w:rsidR="00377D9A" w:rsidRPr="00723614" w:rsidRDefault="00377D9A" w:rsidP="00377D9A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NOVI IZNOS: </w:t>
      </w:r>
      <w:r w:rsidR="00F12118">
        <w:rPr>
          <w:rFonts w:ascii="Arial" w:hAnsi="Arial" w:cs="Arial"/>
          <w:b/>
        </w:rPr>
        <w:t>4.886</w:t>
      </w:r>
      <w:r>
        <w:rPr>
          <w:rFonts w:ascii="Arial" w:hAnsi="Arial" w:cs="Arial"/>
          <w:b/>
        </w:rPr>
        <w:t>,00</w:t>
      </w:r>
      <w:r w:rsidRPr="00723614">
        <w:rPr>
          <w:rFonts w:ascii="Arial" w:hAnsi="Arial" w:cs="Arial"/>
          <w:b/>
        </w:rPr>
        <w:t xml:space="preserve"> €</w:t>
      </w:r>
    </w:p>
    <w:p w:rsidR="00377D9A" w:rsidRPr="00723614" w:rsidRDefault="00377D9A" w:rsidP="00377D9A">
      <w:pPr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="00F12118">
        <w:rPr>
          <w:rFonts w:ascii="Arial" w:hAnsi="Arial" w:cs="Arial"/>
          <w:b/>
        </w:rPr>
        <w:t xml:space="preserve"> </w:t>
      </w:r>
      <w:r w:rsidR="00F47D54">
        <w:rPr>
          <w:rFonts w:ascii="Arial" w:hAnsi="Arial" w:cs="Arial"/>
        </w:rPr>
        <w:t xml:space="preserve">Izvor: 111 - </w:t>
      </w:r>
      <w:r w:rsidR="00AF2C15">
        <w:rPr>
          <w:rFonts w:ascii="Arial" w:hAnsi="Arial" w:cs="Arial"/>
        </w:rPr>
        <w:t>Na ovoj aktivnosti nije bilo promjena u odnosu na izvorni pla</w:t>
      </w:r>
      <w:r w:rsidR="008E63E8">
        <w:rPr>
          <w:rFonts w:ascii="Arial" w:hAnsi="Arial" w:cs="Arial"/>
        </w:rPr>
        <w:t>n</w:t>
      </w:r>
      <w:r w:rsidR="00AF2C15">
        <w:rPr>
          <w:rFonts w:ascii="Arial" w:hAnsi="Arial" w:cs="Arial"/>
        </w:rPr>
        <w:t>.</w:t>
      </w:r>
    </w:p>
    <w:p w:rsidR="00377D9A" w:rsidRDefault="00377D9A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257BC7" w:rsidRDefault="00257BC7" w:rsidP="00377D9A">
      <w:pPr>
        <w:pStyle w:val="Odlomakpopisa"/>
      </w:pPr>
    </w:p>
    <w:p w:rsidR="009A28D9" w:rsidRDefault="009A28D9" w:rsidP="00180380">
      <w:pPr>
        <w:jc w:val="both"/>
        <w:rPr>
          <w:rFonts w:ascii="Arial" w:hAnsi="Arial" w:cs="Arial"/>
          <w:b/>
        </w:rPr>
      </w:pPr>
    </w:p>
    <w:p w:rsidR="00180380" w:rsidRPr="00723614" w:rsidRDefault="00180380" w:rsidP="00180380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>RAZDJEL:UPRAVNI ODJEL</w:t>
      </w:r>
      <w:r>
        <w:rPr>
          <w:rFonts w:ascii="Arial" w:hAnsi="Arial" w:cs="Arial"/>
          <w:b/>
        </w:rPr>
        <w:t xml:space="preserve"> ZA DRUŠTVENE DJELATNOSTI</w:t>
      </w:r>
    </w:p>
    <w:p w:rsidR="00180380" w:rsidRPr="00723614" w:rsidRDefault="00180380" w:rsidP="00180380">
      <w:pPr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ODSJEK:</w:t>
      </w:r>
      <w:r w:rsidRPr="00723614">
        <w:rPr>
          <w:rFonts w:ascii="Arial" w:hAnsi="Arial" w:cs="Arial"/>
        </w:rPr>
        <w:t xml:space="preserve"> ODSJEK</w:t>
      </w:r>
      <w:r>
        <w:rPr>
          <w:rFonts w:ascii="Arial" w:hAnsi="Arial" w:cs="Arial"/>
        </w:rPr>
        <w:t xml:space="preserve"> ZA KULTURU</w:t>
      </w:r>
    </w:p>
    <w:p w:rsidR="00180380" w:rsidRPr="00723614" w:rsidRDefault="00180380" w:rsidP="00180380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>PROGRAM:</w:t>
      </w:r>
      <w:r>
        <w:rPr>
          <w:rFonts w:ascii="Arial" w:hAnsi="Arial" w:cs="Arial"/>
        </w:rPr>
        <w:t>Tekuće održavanje objekata - 3506</w:t>
      </w:r>
    </w:p>
    <w:p w:rsidR="00180380" w:rsidRPr="00723614" w:rsidRDefault="00180380" w:rsidP="00180380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>PROJEKT / AKTIVNOST:</w:t>
      </w:r>
      <w:r w:rsidR="009A64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Hitne intervencije – A350602</w:t>
      </w:r>
    </w:p>
    <w:p w:rsidR="00180380" w:rsidRPr="00723614" w:rsidRDefault="00180380" w:rsidP="00180380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>
        <w:rPr>
          <w:rFonts w:ascii="Arial" w:hAnsi="Arial" w:cs="Arial"/>
          <w:b/>
        </w:rPr>
        <w:t>0,00</w:t>
      </w:r>
      <w:r w:rsidR="009A6418">
        <w:rPr>
          <w:rFonts w:ascii="Arial" w:hAnsi="Arial" w:cs="Arial"/>
          <w:b/>
        </w:rPr>
        <w:t xml:space="preserve"> </w:t>
      </w:r>
      <w:r w:rsidRPr="00723614">
        <w:rPr>
          <w:rFonts w:ascii="Arial" w:hAnsi="Arial" w:cs="Arial"/>
          <w:b/>
        </w:rPr>
        <w:t>€</w:t>
      </w:r>
    </w:p>
    <w:p w:rsidR="00180380" w:rsidRPr="00723614" w:rsidRDefault="00180380" w:rsidP="00180380">
      <w:pPr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NOVI IZNOS: </w:t>
      </w:r>
      <w:r w:rsidR="009A6418">
        <w:rPr>
          <w:rFonts w:ascii="Arial" w:hAnsi="Arial" w:cs="Arial"/>
          <w:b/>
        </w:rPr>
        <w:t>1.5</w:t>
      </w:r>
      <w:r>
        <w:rPr>
          <w:rFonts w:ascii="Arial" w:hAnsi="Arial" w:cs="Arial"/>
          <w:b/>
        </w:rPr>
        <w:t>00,00</w:t>
      </w:r>
      <w:r w:rsidRPr="00723614">
        <w:rPr>
          <w:rFonts w:ascii="Arial" w:hAnsi="Arial" w:cs="Arial"/>
          <w:b/>
        </w:rPr>
        <w:t xml:space="preserve"> €</w:t>
      </w:r>
    </w:p>
    <w:p w:rsidR="00180380" w:rsidRDefault="00180380" w:rsidP="00F47D54">
      <w:pPr>
        <w:jc w:val="both"/>
      </w:pPr>
      <w:r w:rsidRPr="00723614">
        <w:rPr>
          <w:rFonts w:ascii="Arial" w:hAnsi="Arial" w:cs="Arial"/>
          <w:b/>
        </w:rPr>
        <w:t>OBRAZLOŽENJE:</w:t>
      </w:r>
      <w:r w:rsidR="009A6418">
        <w:rPr>
          <w:rFonts w:ascii="Arial" w:hAnsi="Arial" w:cs="Arial"/>
          <w:b/>
        </w:rPr>
        <w:t xml:space="preserve"> </w:t>
      </w:r>
      <w:r w:rsidR="00F47D54">
        <w:rPr>
          <w:rFonts w:ascii="Arial" w:hAnsi="Arial" w:cs="Arial"/>
        </w:rPr>
        <w:t xml:space="preserve">Izvor: 111 - </w:t>
      </w:r>
      <w:r>
        <w:rPr>
          <w:rFonts w:ascii="Arial" w:hAnsi="Arial" w:cs="Arial"/>
        </w:rPr>
        <w:t xml:space="preserve">Nova aktivnost na temelju Zaključka o osiguranju sredstava za izradu </w:t>
      </w:r>
      <w:r w:rsidR="009A6418">
        <w:rPr>
          <w:rFonts w:ascii="Arial" w:hAnsi="Arial" w:cs="Arial"/>
        </w:rPr>
        <w:t xml:space="preserve">građevinskog elaborata mehaničke otpornosti i stabilnosti </w:t>
      </w:r>
      <w:r>
        <w:rPr>
          <w:rFonts w:ascii="Arial" w:hAnsi="Arial" w:cs="Arial"/>
        </w:rPr>
        <w:t>zgrade</w:t>
      </w:r>
      <w:r w:rsidR="009A6418">
        <w:rPr>
          <w:rFonts w:ascii="Arial" w:hAnsi="Arial" w:cs="Arial"/>
        </w:rPr>
        <w:t xml:space="preserve"> u kojoj Gradsko kazalište mladih izvodi svoju </w:t>
      </w:r>
      <w:proofErr w:type="spellStart"/>
      <w:r w:rsidR="009A6418">
        <w:rPr>
          <w:rFonts w:ascii="Arial" w:hAnsi="Arial" w:cs="Arial"/>
        </w:rPr>
        <w:t>djelatnost.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:rsidR="00180380" w:rsidRPr="00723614" w:rsidRDefault="00180380" w:rsidP="00723614">
      <w:pPr>
        <w:jc w:val="both"/>
        <w:rPr>
          <w:rFonts w:ascii="Arial" w:hAnsi="Arial" w:cs="Arial"/>
        </w:rPr>
      </w:pPr>
    </w:p>
    <w:sectPr w:rsidR="00180380" w:rsidRPr="00723614" w:rsidSect="004C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151"/>
    <w:multiLevelType w:val="hybridMultilevel"/>
    <w:tmpl w:val="58645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B7A"/>
    <w:multiLevelType w:val="hybridMultilevel"/>
    <w:tmpl w:val="9580C682"/>
    <w:lvl w:ilvl="0" w:tplc="951CE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4A5"/>
    <w:multiLevelType w:val="hybridMultilevel"/>
    <w:tmpl w:val="9B162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F62"/>
    <w:rsid w:val="00003642"/>
    <w:rsid w:val="000575B6"/>
    <w:rsid w:val="00097019"/>
    <w:rsid w:val="000A7226"/>
    <w:rsid w:val="000B3162"/>
    <w:rsid w:val="000B7284"/>
    <w:rsid w:val="000E7664"/>
    <w:rsid w:val="00126E90"/>
    <w:rsid w:val="00153F9C"/>
    <w:rsid w:val="00157276"/>
    <w:rsid w:val="0017758A"/>
    <w:rsid w:val="00180380"/>
    <w:rsid w:val="001A3089"/>
    <w:rsid w:val="001D1F62"/>
    <w:rsid w:val="001F78A5"/>
    <w:rsid w:val="002129B0"/>
    <w:rsid w:val="00257BC7"/>
    <w:rsid w:val="002946B2"/>
    <w:rsid w:val="002B4F9B"/>
    <w:rsid w:val="0035308A"/>
    <w:rsid w:val="00377D9A"/>
    <w:rsid w:val="00394C63"/>
    <w:rsid w:val="00404FCE"/>
    <w:rsid w:val="0041456C"/>
    <w:rsid w:val="004C03A1"/>
    <w:rsid w:val="004C1054"/>
    <w:rsid w:val="004C27B4"/>
    <w:rsid w:val="00531C5C"/>
    <w:rsid w:val="00544E91"/>
    <w:rsid w:val="005711FF"/>
    <w:rsid w:val="00571F37"/>
    <w:rsid w:val="00577DAD"/>
    <w:rsid w:val="00596261"/>
    <w:rsid w:val="005B5501"/>
    <w:rsid w:val="00635F38"/>
    <w:rsid w:val="00637C1D"/>
    <w:rsid w:val="006B0B2D"/>
    <w:rsid w:val="006C040E"/>
    <w:rsid w:val="00723614"/>
    <w:rsid w:val="0072707C"/>
    <w:rsid w:val="00784E4B"/>
    <w:rsid w:val="0078563E"/>
    <w:rsid w:val="00792765"/>
    <w:rsid w:val="007D0311"/>
    <w:rsid w:val="00836229"/>
    <w:rsid w:val="008B3889"/>
    <w:rsid w:val="008B67AA"/>
    <w:rsid w:val="008C26CE"/>
    <w:rsid w:val="008D409D"/>
    <w:rsid w:val="008D5F60"/>
    <w:rsid w:val="008E63E8"/>
    <w:rsid w:val="009440F9"/>
    <w:rsid w:val="009457FB"/>
    <w:rsid w:val="009700E1"/>
    <w:rsid w:val="00972881"/>
    <w:rsid w:val="00977EDD"/>
    <w:rsid w:val="009A28D9"/>
    <w:rsid w:val="009A6418"/>
    <w:rsid w:val="009B1911"/>
    <w:rsid w:val="00A00424"/>
    <w:rsid w:val="00A47ED9"/>
    <w:rsid w:val="00A54135"/>
    <w:rsid w:val="00A824B6"/>
    <w:rsid w:val="00A85327"/>
    <w:rsid w:val="00A9464C"/>
    <w:rsid w:val="00AB7AC9"/>
    <w:rsid w:val="00AC7926"/>
    <w:rsid w:val="00AE50C9"/>
    <w:rsid w:val="00AF2C15"/>
    <w:rsid w:val="00B456DA"/>
    <w:rsid w:val="00BB410C"/>
    <w:rsid w:val="00BD3AB2"/>
    <w:rsid w:val="00BD6244"/>
    <w:rsid w:val="00C6702D"/>
    <w:rsid w:val="00CE08E4"/>
    <w:rsid w:val="00CF43F3"/>
    <w:rsid w:val="00D82BB4"/>
    <w:rsid w:val="00DB1123"/>
    <w:rsid w:val="00E1147B"/>
    <w:rsid w:val="00E12046"/>
    <w:rsid w:val="00E2513A"/>
    <w:rsid w:val="00E458BF"/>
    <w:rsid w:val="00E47A48"/>
    <w:rsid w:val="00E55D16"/>
    <w:rsid w:val="00E64B47"/>
    <w:rsid w:val="00ED4F7C"/>
    <w:rsid w:val="00EF05EC"/>
    <w:rsid w:val="00F12118"/>
    <w:rsid w:val="00F33B9A"/>
    <w:rsid w:val="00F36AA3"/>
    <w:rsid w:val="00F47D54"/>
    <w:rsid w:val="00FA060E"/>
    <w:rsid w:val="00FC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4C"/>
  </w:style>
  <w:style w:type="paragraph" w:styleId="Naslov1">
    <w:name w:val="heading 1"/>
    <w:basedOn w:val="Normal"/>
    <w:next w:val="Normal"/>
    <w:link w:val="Naslov1Char"/>
    <w:uiPriority w:val="9"/>
    <w:qFormat/>
    <w:rsid w:val="00A94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94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E5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9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94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E5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glaeno">
    <w:name w:val="Strong"/>
    <w:basedOn w:val="Zadanifontodlomka"/>
    <w:uiPriority w:val="22"/>
    <w:qFormat/>
    <w:rsid w:val="00A9464C"/>
    <w:rPr>
      <w:b/>
      <w:bCs/>
    </w:rPr>
  </w:style>
  <w:style w:type="character" w:styleId="Istaknuto">
    <w:name w:val="Emphasis"/>
    <w:basedOn w:val="Zadanifontodlomka"/>
    <w:uiPriority w:val="20"/>
    <w:qFormat/>
    <w:rsid w:val="00AE50C9"/>
    <w:rPr>
      <w:i/>
      <w:iCs/>
    </w:rPr>
  </w:style>
  <w:style w:type="paragraph" w:styleId="Odlomakpopisa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9464C"/>
    <w:pPr>
      <w:outlineLvl w:val="9"/>
    </w:pPr>
    <w:rPr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456C"/>
    <w:rPr>
      <w:color w:val="0563C1"/>
      <w:u w:val="single"/>
    </w:rPr>
  </w:style>
  <w:style w:type="paragraph" w:customStyle="1" w:styleId="tb-na16">
    <w:name w:val="tb-na16"/>
    <w:basedOn w:val="Normal"/>
    <w:rsid w:val="00414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32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9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4C"/>
  </w:style>
  <w:style w:type="paragraph" w:styleId="Heading1">
    <w:name w:val="heading 1"/>
    <w:basedOn w:val="Normal"/>
    <w:next w:val="Normal"/>
    <w:link w:val="Heading1Char"/>
    <w:uiPriority w:val="9"/>
    <w:qFormat/>
    <w:rsid w:val="00A94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9464C"/>
    <w:rPr>
      <w:b/>
      <w:bCs/>
    </w:rPr>
  </w:style>
  <w:style w:type="character" w:styleId="Emphasis">
    <w:name w:val="Emphasis"/>
    <w:basedOn w:val="DefaultParagraphFont"/>
    <w:uiPriority w:val="20"/>
    <w:qFormat/>
    <w:rsid w:val="00AE50C9"/>
    <w:rPr>
      <w:i/>
      <w:iCs/>
    </w:r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64C"/>
    <w:pPr>
      <w:outlineLvl w:val="9"/>
    </w:pPr>
    <w:rPr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1456C"/>
    <w:rPr>
      <w:color w:val="0563C1"/>
      <w:u w:val="single"/>
    </w:rPr>
  </w:style>
  <w:style w:type="paragraph" w:customStyle="1" w:styleId="tb-na16">
    <w:name w:val="tb-na16"/>
    <w:basedOn w:val="Normal"/>
    <w:rsid w:val="00414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9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3777-CDE2-4C2F-BF5B-3FC1FCB2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GKM SPLIT</cp:lastModifiedBy>
  <cp:revision>2</cp:revision>
  <cp:lastPrinted>2023-10-25T08:53:00Z</cp:lastPrinted>
  <dcterms:created xsi:type="dcterms:W3CDTF">2023-10-27T12:43:00Z</dcterms:created>
  <dcterms:modified xsi:type="dcterms:W3CDTF">2023-10-27T12:43:00Z</dcterms:modified>
</cp:coreProperties>
</file>