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7654" w14:textId="1D88F885" w:rsidR="00AD61F3" w:rsidRPr="00AD61F3" w:rsidRDefault="00AD61F3" w:rsidP="00AD61F3">
      <w:pPr>
        <w:pStyle w:val="StandardWeb"/>
        <w:rPr>
          <w:rStyle w:val="Naglaeno"/>
          <w:rFonts w:eastAsiaTheme="majorEastAsia"/>
          <w:b w:val="0"/>
          <w:bCs w:val="0"/>
        </w:rPr>
      </w:pPr>
      <w:r w:rsidRPr="00AD61F3">
        <w:rPr>
          <w:rStyle w:val="Naglaeno"/>
          <w:rFonts w:eastAsiaTheme="majorEastAsia"/>
          <w:b w:val="0"/>
          <w:bCs w:val="0"/>
        </w:rPr>
        <w:t xml:space="preserve">Na temelju članka 38. stavka 2. Zakona o kazalištima i članka 18. podstavka 13. Statuta Gradskog kazališta mladih, ravnatelj Gradskog kazališta mladih nakon provedenog savjetovanja sa sindikalnom povjerenicom u ulozi radničkog vijeća i uz prethodnu suglasnost Kazališnog vijeća Gradskog kazališta mladih, </w:t>
      </w:r>
      <w:r w:rsidR="00077DC8">
        <w:rPr>
          <w:rStyle w:val="Naglaeno"/>
          <w:rFonts w:eastAsiaTheme="majorEastAsia"/>
          <w:b w:val="0"/>
          <w:bCs w:val="0"/>
        </w:rPr>
        <w:t xml:space="preserve">na svojoj 40. sjednici održanoj </w:t>
      </w:r>
      <w:r w:rsidRPr="00AD61F3">
        <w:rPr>
          <w:rStyle w:val="Naglaeno"/>
          <w:rFonts w:eastAsiaTheme="majorEastAsia"/>
          <w:b w:val="0"/>
          <w:bCs w:val="0"/>
        </w:rPr>
        <w:t xml:space="preserve">dana </w:t>
      </w:r>
      <w:r w:rsidR="00077DC8">
        <w:rPr>
          <w:rStyle w:val="Naglaeno"/>
          <w:rFonts w:eastAsiaTheme="majorEastAsia"/>
          <w:b w:val="0"/>
          <w:bCs w:val="0"/>
        </w:rPr>
        <w:t xml:space="preserve">29. srpnja 2025. </w:t>
      </w:r>
      <w:r w:rsidRPr="00AD61F3">
        <w:rPr>
          <w:rStyle w:val="Naglaeno"/>
          <w:rFonts w:eastAsiaTheme="majorEastAsia"/>
          <w:b w:val="0"/>
          <w:bCs w:val="0"/>
        </w:rPr>
        <w:t xml:space="preserve">donosi </w:t>
      </w:r>
    </w:p>
    <w:p w14:paraId="13B1145C" w14:textId="77777777" w:rsidR="00AD61F3" w:rsidRDefault="00AD61F3" w:rsidP="00AD61F3">
      <w:pPr>
        <w:pStyle w:val="StandardWeb"/>
        <w:rPr>
          <w:rStyle w:val="Naglaeno"/>
          <w:rFonts w:eastAsiaTheme="majorEastAsia"/>
        </w:rPr>
      </w:pPr>
    </w:p>
    <w:p w14:paraId="6AD4A6CF" w14:textId="5D795B51" w:rsidR="00D63041" w:rsidRDefault="00D63041" w:rsidP="00AD61F3">
      <w:pPr>
        <w:pStyle w:val="StandardWeb"/>
        <w:jc w:val="center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PRAVILNIK O REVIZIJI UMJETNIČKOG DJELOVANJA I DOPRINOSA KAZALIŠNIH UMJETNIKA</w:t>
      </w:r>
    </w:p>
    <w:p w14:paraId="78671F35" w14:textId="77777777" w:rsidR="009E671F" w:rsidRDefault="009E671F" w:rsidP="00D63041">
      <w:pPr>
        <w:pStyle w:val="StandardWeb"/>
        <w:jc w:val="center"/>
        <w:rPr>
          <w:rStyle w:val="Naglaeno"/>
          <w:rFonts w:eastAsiaTheme="majorEastAsia"/>
        </w:rPr>
      </w:pPr>
    </w:p>
    <w:p w14:paraId="56AE1D07" w14:textId="77777777" w:rsidR="009E671F" w:rsidRDefault="009E671F" w:rsidP="00D63041">
      <w:pPr>
        <w:pStyle w:val="StandardWeb"/>
        <w:jc w:val="center"/>
        <w:rPr>
          <w:rStyle w:val="Naglaeno"/>
          <w:rFonts w:eastAsiaTheme="majorEastAsia"/>
        </w:rPr>
      </w:pPr>
    </w:p>
    <w:p w14:paraId="4BEE2F38" w14:textId="233BA3AB" w:rsidR="009E671F" w:rsidRDefault="009E671F" w:rsidP="009E671F">
      <w:pPr>
        <w:pStyle w:val="StandardWeb"/>
        <w:numPr>
          <w:ilvl w:val="0"/>
          <w:numId w:val="5"/>
        </w:numPr>
      </w:pPr>
      <w:r>
        <w:t>OPĆE ODREDBE</w:t>
      </w:r>
    </w:p>
    <w:p w14:paraId="7B1034D4" w14:textId="709C8BA1" w:rsidR="00D63041" w:rsidRDefault="00D63041" w:rsidP="009E671F">
      <w:pPr>
        <w:pStyle w:val="StandardWeb"/>
        <w:jc w:val="center"/>
      </w:pPr>
      <w:r>
        <w:rPr>
          <w:rStyle w:val="Naglaeno"/>
          <w:rFonts w:eastAsiaTheme="majorEastAsia"/>
        </w:rPr>
        <w:t>Članak 1.</w:t>
      </w:r>
    </w:p>
    <w:p w14:paraId="13EEB90A" w14:textId="37D2204F" w:rsidR="00806A43" w:rsidRDefault="00D63041" w:rsidP="00D63041">
      <w:pPr>
        <w:pStyle w:val="StandardWeb"/>
      </w:pPr>
      <w:r>
        <w:t xml:space="preserve">Ovim se pravilnikom </w:t>
      </w:r>
      <w:r w:rsidR="009E671F">
        <w:t xml:space="preserve">određuju kriteriji za reviziju umjetničkog djelovanja i doprinosa </w:t>
      </w:r>
      <w:r w:rsidR="002F2BE8">
        <w:t xml:space="preserve">kazališnih </w:t>
      </w:r>
      <w:r w:rsidR="009E671F">
        <w:t xml:space="preserve">umjetnika, kao i sastav, način rada i zadaće stručnog tijela za provedbu revizije umjetničkog djelovanja i doprinosa kazališnih umjetnika </w:t>
      </w:r>
      <w:r>
        <w:t>zaposlenih u Gradskom kazalištu mladih</w:t>
      </w:r>
      <w:r w:rsidR="00AD6C51">
        <w:t xml:space="preserve"> (u nastavku: Kazalište).</w:t>
      </w:r>
    </w:p>
    <w:p w14:paraId="7819F814" w14:textId="25066D83" w:rsidR="009E671F" w:rsidRPr="009E671F" w:rsidRDefault="009E671F" w:rsidP="009E671F">
      <w:pPr>
        <w:pStyle w:val="StandardWeb"/>
        <w:jc w:val="center"/>
        <w:rPr>
          <w:b/>
          <w:bCs/>
        </w:rPr>
      </w:pPr>
      <w:r w:rsidRPr="009E671F">
        <w:rPr>
          <w:b/>
          <w:bCs/>
        </w:rPr>
        <w:t>Članak 2.</w:t>
      </w:r>
    </w:p>
    <w:p w14:paraId="5DBD507C" w14:textId="77777777" w:rsidR="009E671F" w:rsidRDefault="009E671F" w:rsidP="009E67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0" w:name="_Hlk201316457"/>
      <w:r w:rsidRPr="00475E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Izrazi koji se koriste u Pravilniku, a imaju rodno značenje, koriste se neutralno i odnose se jednako na muški i ženski rod.</w:t>
      </w:r>
    </w:p>
    <w:bookmarkEnd w:id="0"/>
    <w:p w14:paraId="30E1ABA2" w14:textId="77777777" w:rsidR="009E671F" w:rsidRDefault="009E671F" w:rsidP="009E67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E1488E" w14:textId="77777777" w:rsidR="00C6666B" w:rsidRPr="008C0304" w:rsidRDefault="00C6666B" w:rsidP="008C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C03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6BA2FF54" w14:textId="13E47821" w:rsidR="00C6666B" w:rsidRDefault="00C6666B" w:rsidP="009E67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Revizija umjetničkog djelovanja i doprinosa kazališnih umjetnika provodi se s ciljem utvrđivanja sposobnosti kazališnih umjetnika da i dalje umjetnički djeluju i doprinose. </w:t>
      </w:r>
    </w:p>
    <w:p w14:paraId="06EB081E" w14:textId="77777777" w:rsidR="008C0304" w:rsidRDefault="008C0304" w:rsidP="009E67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493CCA" w14:textId="77777777" w:rsidR="008C0304" w:rsidRPr="00475EF7" w:rsidRDefault="008C0304" w:rsidP="009E67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CB380C" w14:textId="719C134A" w:rsidR="009E671F" w:rsidRDefault="009E671F" w:rsidP="009E671F">
      <w:pPr>
        <w:pStyle w:val="StandardWeb"/>
        <w:numPr>
          <w:ilvl w:val="0"/>
          <w:numId w:val="5"/>
        </w:numPr>
      </w:pPr>
      <w:r>
        <w:t>OBVEZA PROVOĐENJA REVIZIJE</w:t>
      </w:r>
    </w:p>
    <w:p w14:paraId="7FDC304C" w14:textId="4C384F8F" w:rsidR="00D63041" w:rsidRDefault="00D63041" w:rsidP="009E671F">
      <w:pPr>
        <w:pStyle w:val="StandardWeb"/>
        <w:jc w:val="center"/>
      </w:pPr>
      <w:r>
        <w:rPr>
          <w:rStyle w:val="Naglaeno"/>
          <w:rFonts w:eastAsiaTheme="majorEastAsia"/>
        </w:rPr>
        <w:t xml:space="preserve">Članak </w:t>
      </w:r>
      <w:r w:rsidR="007D5908">
        <w:rPr>
          <w:rStyle w:val="Naglaeno"/>
          <w:rFonts w:eastAsiaTheme="majorEastAsia"/>
        </w:rPr>
        <w:t>4</w:t>
      </w:r>
      <w:r w:rsidR="009E671F">
        <w:rPr>
          <w:rStyle w:val="Naglaeno"/>
          <w:rFonts w:eastAsiaTheme="majorEastAsia"/>
        </w:rPr>
        <w:t>.</w:t>
      </w:r>
    </w:p>
    <w:p w14:paraId="3D35CBA5" w14:textId="4DCC2411" w:rsidR="00D63041" w:rsidRDefault="00D63041" w:rsidP="00D63041">
      <w:pPr>
        <w:pStyle w:val="StandardWeb"/>
      </w:pPr>
      <w:r>
        <w:t xml:space="preserve">Revizija umjetničkog djelovanja i doprinosa provodi se svake četiri godine za kazališne umjetnike koji </w:t>
      </w:r>
      <w:r w:rsidR="00AD6C51">
        <w:t xml:space="preserve">s Kazalištem </w:t>
      </w:r>
      <w:r>
        <w:t>imaju sklopljen ugovor o radu na neodređeno vrijeme, kako bi se utvrdilo jesu li i dalje sposobni umjetnički djelovati i doprinositi.</w:t>
      </w:r>
    </w:p>
    <w:p w14:paraId="53D2527B" w14:textId="710BC8DD" w:rsidR="00D63041" w:rsidRDefault="003B5EA5" w:rsidP="00D63041">
      <w:pPr>
        <w:pStyle w:val="StandardWeb"/>
      </w:pPr>
      <w:r>
        <w:t>Reviziji ne podliježu k</w:t>
      </w:r>
      <w:r w:rsidR="00D63041">
        <w:t>azališni umjetnici koji redovito sudjeluju u provedbi predviđenog repertoarnog plana sukladno ugovoru o radu</w:t>
      </w:r>
      <w:r>
        <w:t xml:space="preserve">. </w:t>
      </w:r>
    </w:p>
    <w:p w14:paraId="3A756ED4" w14:textId="77777777" w:rsidR="00AD61F3" w:rsidRDefault="009E671F" w:rsidP="00D63041">
      <w:pPr>
        <w:pStyle w:val="StandardWeb"/>
      </w:pPr>
      <w:r>
        <w:t xml:space="preserve">Smatra se da kazališni umjetnik redovito sudjeluje u provedbi predviđenog repertoarnog plana </w:t>
      </w:r>
      <w:r w:rsidR="00357ED3">
        <w:t xml:space="preserve">ako ostvari najmanje 15 izvedbi u premijernim i repriznim predstavama po sezoni, odnosno kumulativno 60 izvedbi u četiri sezone (glumci), odnosno ako </w:t>
      </w:r>
      <w:r w:rsidR="0037763D">
        <w:t xml:space="preserve">kreira svjetlo (majstor </w:t>
      </w:r>
      <w:r w:rsidR="0037763D">
        <w:lastRenderedPageBreak/>
        <w:t>rasvjete), odnosno ton (majstor tona) u najmanje dvije premijere po sezoni, odnosno kumulativno osam kreacija svjetla odnosno tona</w:t>
      </w:r>
      <w:r w:rsidR="008C0304">
        <w:t xml:space="preserve"> u četiri </w:t>
      </w:r>
      <w:r w:rsidR="008C0304" w:rsidRPr="00092EF6">
        <w:t>sezone</w:t>
      </w:r>
      <w:r w:rsidR="00AD61F3">
        <w:t>.</w:t>
      </w:r>
    </w:p>
    <w:p w14:paraId="7CD2A278" w14:textId="5823DCB1" w:rsidR="003B5EA5" w:rsidRDefault="00AD61F3" w:rsidP="00D63041">
      <w:pPr>
        <w:pStyle w:val="StandardWeb"/>
      </w:pPr>
      <w:r w:rsidRPr="001D7531">
        <w:t>Kazališni umjetnik gubi pravo na izuzeće od revizije ako je u promatranom revizijskom razdoblju imao više od dva pisana, službeno evidentirana prigovora autorskog tima predstave na svoj rad.</w:t>
      </w:r>
      <w:r>
        <w:t xml:space="preserve"> </w:t>
      </w:r>
      <w:r w:rsidR="007D5908" w:rsidRPr="00092EF6">
        <w:t xml:space="preserve"> </w:t>
      </w:r>
    </w:p>
    <w:p w14:paraId="0146E231" w14:textId="77777777" w:rsidR="008C0304" w:rsidRDefault="008C0304" w:rsidP="00D63041">
      <w:pPr>
        <w:pStyle w:val="StandardWeb"/>
      </w:pPr>
    </w:p>
    <w:p w14:paraId="39E36C0E" w14:textId="77777777" w:rsidR="00696200" w:rsidRDefault="00696200" w:rsidP="00D63041">
      <w:pPr>
        <w:pStyle w:val="StandardWeb"/>
      </w:pPr>
    </w:p>
    <w:p w14:paraId="1C633818" w14:textId="300C766E" w:rsidR="0037763D" w:rsidRDefault="0037763D" w:rsidP="0037763D">
      <w:pPr>
        <w:pStyle w:val="StandardWeb"/>
        <w:numPr>
          <w:ilvl w:val="0"/>
          <w:numId w:val="5"/>
        </w:numPr>
      </w:pPr>
      <w:r>
        <w:t xml:space="preserve">STRUČNO TIJELO </w:t>
      </w:r>
    </w:p>
    <w:p w14:paraId="1CC78799" w14:textId="680850AF" w:rsidR="0037763D" w:rsidRPr="0037763D" w:rsidRDefault="0037763D" w:rsidP="0037763D">
      <w:pPr>
        <w:pStyle w:val="StandardWeb"/>
        <w:jc w:val="center"/>
        <w:rPr>
          <w:b/>
          <w:bCs/>
        </w:rPr>
      </w:pPr>
      <w:r w:rsidRPr="0037763D">
        <w:rPr>
          <w:b/>
          <w:bCs/>
        </w:rPr>
        <w:t xml:space="preserve">Članak </w:t>
      </w:r>
      <w:r w:rsidR="007D5908">
        <w:rPr>
          <w:b/>
          <w:bCs/>
        </w:rPr>
        <w:t>5</w:t>
      </w:r>
      <w:r w:rsidRPr="0037763D">
        <w:rPr>
          <w:b/>
          <w:bCs/>
        </w:rPr>
        <w:t>.</w:t>
      </w:r>
    </w:p>
    <w:p w14:paraId="77AC769B" w14:textId="77777777" w:rsidR="0037763D" w:rsidRDefault="00D63041" w:rsidP="0037763D">
      <w:pPr>
        <w:pStyle w:val="StandardWeb"/>
      </w:pPr>
      <w:r>
        <w:t xml:space="preserve">Reviziju provodi </w:t>
      </w:r>
      <w:r w:rsidR="00AD6C51">
        <w:t xml:space="preserve">revizijsko povjerenstvo - </w:t>
      </w:r>
      <w:r>
        <w:t xml:space="preserve">stručno tijelo koje imenuje </w:t>
      </w:r>
      <w:r w:rsidR="00AD6C51">
        <w:t>ravnatelj</w:t>
      </w:r>
      <w:r w:rsidR="00D3202C">
        <w:t xml:space="preserve"> za svako pojedinačno revizijsko razdoblje. </w:t>
      </w:r>
    </w:p>
    <w:p w14:paraId="1DB520D3" w14:textId="79014128" w:rsidR="0037763D" w:rsidRDefault="0037763D" w:rsidP="0037763D">
      <w:pPr>
        <w:pStyle w:val="StandardWeb"/>
      </w:pPr>
      <w:r>
        <w:t>Revizijsko povjerenstvo sastoji se od tri člana</w:t>
      </w:r>
      <w:r w:rsidR="00273CB1">
        <w:t xml:space="preserve"> iz redova kazališnih umjetnika nad kojima se ne provodi revizija umjetničkog djelovanja i doprinosa za predmetno razdoblje. </w:t>
      </w:r>
    </w:p>
    <w:p w14:paraId="09B94FBF" w14:textId="48977595" w:rsidR="00AD6C51" w:rsidRPr="00273CB1" w:rsidRDefault="002F2BE8" w:rsidP="00A83ECB">
      <w:pPr>
        <w:pStyle w:val="StandardWeb"/>
        <w:jc w:val="center"/>
        <w:rPr>
          <w:b/>
          <w:bCs/>
        </w:rPr>
      </w:pPr>
      <w:r w:rsidRPr="00273CB1">
        <w:rPr>
          <w:b/>
          <w:bCs/>
        </w:rPr>
        <w:t xml:space="preserve">Članak </w:t>
      </w:r>
      <w:r w:rsidR="007D5908">
        <w:rPr>
          <w:b/>
          <w:bCs/>
        </w:rPr>
        <w:t>6</w:t>
      </w:r>
      <w:r w:rsidRPr="00273CB1">
        <w:rPr>
          <w:b/>
          <w:bCs/>
        </w:rPr>
        <w:t>.</w:t>
      </w:r>
    </w:p>
    <w:p w14:paraId="7548E01E" w14:textId="012F9566" w:rsidR="00B16D37" w:rsidRDefault="00B16D37" w:rsidP="00B16D37">
      <w:pPr>
        <w:pStyle w:val="StandardWeb"/>
      </w:pPr>
      <w:r>
        <w:t>Revizijsko povjerenstvo svoj rad obavlja na sjednicama.</w:t>
      </w:r>
    </w:p>
    <w:p w14:paraId="4B2BBFAD" w14:textId="0D3C2842" w:rsidR="00B16D37" w:rsidRDefault="00B16D37" w:rsidP="00B16D37">
      <w:pPr>
        <w:pStyle w:val="StandardWeb"/>
      </w:pPr>
      <w:r>
        <w:t>Zadaća revizijskog povjerenstva je utvrditi sposobnost kazališnog umjetnika da i dalje umjetnički djeluje i doprinosi.</w:t>
      </w:r>
    </w:p>
    <w:p w14:paraId="54F708C1" w14:textId="3ED125B0" w:rsidR="00B16D37" w:rsidRDefault="00B16D37" w:rsidP="00B16D37">
      <w:pPr>
        <w:pStyle w:val="StandardWeb"/>
      </w:pPr>
      <w:r>
        <w:t>O obavljenoj reviziji umjetničkog djelovanja i doprinosa kazališnog umjetnika revizijsko povjerenstvo sastavlja izvještaj</w:t>
      </w:r>
      <w:r w:rsidR="008F657D">
        <w:t xml:space="preserve"> te daje mišljenje o sposobnosti kazališnog umjetnika da i dalje umjetnički djeluje i doprinosi</w:t>
      </w:r>
      <w:r>
        <w:t xml:space="preserve">. </w:t>
      </w:r>
    </w:p>
    <w:p w14:paraId="50310AAF" w14:textId="77777777" w:rsidR="008C0304" w:rsidRDefault="008C0304" w:rsidP="00B16D37">
      <w:pPr>
        <w:pStyle w:val="StandardWeb"/>
      </w:pPr>
    </w:p>
    <w:p w14:paraId="2B39E585" w14:textId="123556AC" w:rsidR="002F2BE8" w:rsidRPr="008273EE" w:rsidRDefault="00273CB1" w:rsidP="00273CB1">
      <w:pPr>
        <w:pStyle w:val="StandardWeb"/>
        <w:numPr>
          <w:ilvl w:val="0"/>
          <w:numId w:val="5"/>
        </w:numPr>
      </w:pPr>
      <w:r w:rsidRPr="008273EE">
        <w:t xml:space="preserve">KRITERIJI </w:t>
      </w:r>
    </w:p>
    <w:p w14:paraId="589F59D6" w14:textId="4B3B0E88" w:rsidR="002F2BE8" w:rsidRDefault="002F2BE8" w:rsidP="00A83ECB">
      <w:pPr>
        <w:pStyle w:val="StandardWeb"/>
        <w:jc w:val="center"/>
        <w:rPr>
          <w:b/>
          <w:bCs/>
        </w:rPr>
      </w:pPr>
      <w:r w:rsidRPr="00273CB1">
        <w:rPr>
          <w:b/>
          <w:bCs/>
        </w:rPr>
        <w:t xml:space="preserve">Članak </w:t>
      </w:r>
      <w:r w:rsidR="007D5908">
        <w:rPr>
          <w:b/>
          <w:bCs/>
        </w:rPr>
        <w:t>7</w:t>
      </w:r>
      <w:r w:rsidRPr="00273CB1">
        <w:rPr>
          <w:b/>
          <w:bCs/>
        </w:rPr>
        <w:t>.</w:t>
      </w:r>
    </w:p>
    <w:p w14:paraId="6B2BECB1" w14:textId="77777777" w:rsidR="00195EB7" w:rsidRPr="00273CB1" w:rsidRDefault="00195EB7" w:rsidP="00195EB7">
      <w:pPr>
        <w:pStyle w:val="StandardWeb"/>
        <w:rPr>
          <w:b/>
          <w:bCs/>
        </w:rPr>
      </w:pPr>
    </w:p>
    <w:p w14:paraId="6878FD04" w14:textId="7F928E8E" w:rsidR="002F2BE8" w:rsidRDefault="00B16D37" w:rsidP="0037763D">
      <w:pPr>
        <w:pStyle w:val="StandardWeb"/>
      </w:pPr>
      <w:r>
        <w:t xml:space="preserve">Pri procjeni sposobnosti umjetničkog djelovanja i doprinosa kazališnog umjetnika, revizijsko povjerenstvo dužno je voditi se sljedećim kriterijima: </w:t>
      </w:r>
    </w:p>
    <w:p w14:paraId="6FF05700" w14:textId="0E283006" w:rsidR="00A83ECB" w:rsidRDefault="00A83ECB" w:rsidP="00273CB1">
      <w:pPr>
        <w:pStyle w:val="StandardWeb"/>
        <w:numPr>
          <w:ilvl w:val="0"/>
          <w:numId w:val="6"/>
        </w:numPr>
      </w:pPr>
      <w:r>
        <w:t>kontinuitet sudjelovanja kazališnog umjetnika u provedbi programa Kazališta</w:t>
      </w:r>
    </w:p>
    <w:p w14:paraId="4B696500" w14:textId="2EDAE365" w:rsidR="00A83ECB" w:rsidRDefault="00A83ECB" w:rsidP="00A83ECB">
      <w:pPr>
        <w:pStyle w:val="StandardWeb"/>
        <w:numPr>
          <w:ilvl w:val="0"/>
          <w:numId w:val="6"/>
        </w:numPr>
      </w:pPr>
      <w:r>
        <w:t>kvaliteta umjetničkog djelovanja</w:t>
      </w:r>
    </w:p>
    <w:p w14:paraId="57F10A93" w14:textId="7E9D9D89" w:rsidR="00A83ECB" w:rsidRDefault="00A83ECB" w:rsidP="00A83ECB">
      <w:pPr>
        <w:pStyle w:val="StandardWeb"/>
        <w:numPr>
          <w:ilvl w:val="0"/>
          <w:numId w:val="6"/>
        </w:numPr>
      </w:pPr>
      <w:r>
        <w:t>ostvarene strukovne nominacije i nagrade</w:t>
      </w:r>
    </w:p>
    <w:p w14:paraId="56EE966A" w14:textId="0816EBDF" w:rsidR="00A83ECB" w:rsidRDefault="00A83ECB" w:rsidP="00A83ECB">
      <w:pPr>
        <w:pStyle w:val="StandardWeb"/>
        <w:numPr>
          <w:ilvl w:val="0"/>
          <w:numId w:val="6"/>
        </w:numPr>
      </w:pPr>
      <w:r>
        <w:t xml:space="preserve">evidentirano neargumentirano odbijanje uloga/zadataka </w:t>
      </w:r>
    </w:p>
    <w:p w14:paraId="70307ACB" w14:textId="1F6EC0DB" w:rsidR="00A83ECB" w:rsidRDefault="003B5EA5" w:rsidP="00A83ECB">
      <w:pPr>
        <w:pStyle w:val="StandardWeb"/>
        <w:numPr>
          <w:ilvl w:val="0"/>
          <w:numId w:val="6"/>
        </w:numPr>
      </w:pPr>
      <w:r>
        <w:t xml:space="preserve">broj </w:t>
      </w:r>
      <w:r w:rsidR="00AD61F3">
        <w:t xml:space="preserve">pisanih, službeno </w:t>
      </w:r>
      <w:r>
        <w:t xml:space="preserve">evidentiranih prigovora </w:t>
      </w:r>
      <w:r w:rsidR="00A83ECB">
        <w:t xml:space="preserve">autorskog </w:t>
      </w:r>
      <w:r w:rsidR="00AD61F3" w:rsidRPr="001D7531">
        <w:t>i izvođačkog</w:t>
      </w:r>
      <w:r w:rsidR="00AD61F3">
        <w:t xml:space="preserve"> </w:t>
      </w:r>
      <w:r w:rsidR="00A83ECB">
        <w:t>tima predstave na rad kazališnog umjetnika</w:t>
      </w:r>
    </w:p>
    <w:p w14:paraId="59D7B4F6" w14:textId="657DD4FF" w:rsidR="00A83ECB" w:rsidRDefault="00A83ECB" w:rsidP="00A83ECB">
      <w:pPr>
        <w:pStyle w:val="StandardWeb"/>
        <w:numPr>
          <w:ilvl w:val="0"/>
          <w:numId w:val="6"/>
        </w:numPr>
      </w:pPr>
      <w:r>
        <w:t>pisane opomene zbog kršenja obveza iz ugovora o radu.</w:t>
      </w:r>
    </w:p>
    <w:p w14:paraId="719F49B0" w14:textId="77777777" w:rsidR="00AD61F3" w:rsidRDefault="00AD61F3" w:rsidP="00AD61F3">
      <w:pPr>
        <w:pStyle w:val="StandardWeb"/>
      </w:pPr>
    </w:p>
    <w:p w14:paraId="2AB3AED3" w14:textId="035F1B63" w:rsidR="00A83ECB" w:rsidRPr="00273CB1" w:rsidRDefault="00A83ECB" w:rsidP="00A83ECB">
      <w:pPr>
        <w:pStyle w:val="StandardWeb"/>
        <w:jc w:val="center"/>
        <w:rPr>
          <w:b/>
          <w:bCs/>
        </w:rPr>
      </w:pPr>
      <w:r w:rsidRPr="00273CB1">
        <w:rPr>
          <w:b/>
          <w:bCs/>
        </w:rPr>
        <w:t xml:space="preserve">Članak </w:t>
      </w:r>
      <w:r w:rsidR="007D5908">
        <w:rPr>
          <w:b/>
          <w:bCs/>
        </w:rPr>
        <w:t>8</w:t>
      </w:r>
      <w:r w:rsidRPr="00273CB1">
        <w:rPr>
          <w:b/>
          <w:bCs/>
        </w:rPr>
        <w:t>.</w:t>
      </w:r>
    </w:p>
    <w:p w14:paraId="5A6E640D" w14:textId="28816256" w:rsidR="00A83ECB" w:rsidRDefault="00A83ECB" w:rsidP="0037763D">
      <w:pPr>
        <w:pStyle w:val="StandardWeb"/>
      </w:pPr>
      <w:r>
        <w:t>Četverogodišnje razdoblje za koje se provodi revizija umjetničkog djelovanja i doprinosa kazališnih umjetnika započinje od sezone 2025./2026.</w:t>
      </w:r>
      <w:bookmarkStart w:id="1" w:name="_Hlk201316327"/>
    </w:p>
    <w:p w14:paraId="139E89F8" w14:textId="77777777" w:rsidR="00AD61F3" w:rsidRDefault="00AD61F3" w:rsidP="0037763D">
      <w:pPr>
        <w:pStyle w:val="StandardWeb"/>
      </w:pPr>
    </w:p>
    <w:p w14:paraId="544B9F8B" w14:textId="77777777" w:rsidR="00AD61F3" w:rsidRDefault="00AD61F3" w:rsidP="0037763D">
      <w:pPr>
        <w:pStyle w:val="StandardWeb"/>
      </w:pPr>
    </w:p>
    <w:bookmarkEnd w:id="1"/>
    <w:p w14:paraId="364233FC" w14:textId="4AF18D9A" w:rsidR="00A83ECB" w:rsidRDefault="00775B2F" w:rsidP="00775B2F">
      <w:pPr>
        <w:pStyle w:val="StandardWeb"/>
        <w:numPr>
          <w:ilvl w:val="0"/>
          <w:numId w:val="5"/>
        </w:numPr>
      </w:pPr>
      <w:r>
        <w:t>ZAVRŠNE ODREDBE</w:t>
      </w:r>
    </w:p>
    <w:p w14:paraId="02E44461" w14:textId="0D62E977" w:rsidR="00A83ECB" w:rsidRPr="00273CB1" w:rsidRDefault="00A83ECB" w:rsidP="00273CB1">
      <w:pPr>
        <w:pStyle w:val="StandardWeb"/>
        <w:jc w:val="center"/>
        <w:rPr>
          <w:b/>
          <w:bCs/>
        </w:rPr>
      </w:pPr>
      <w:bookmarkStart w:id="2" w:name="_Hlk201320489"/>
      <w:r w:rsidRPr="00273CB1">
        <w:rPr>
          <w:b/>
          <w:bCs/>
        </w:rPr>
        <w:t xml:space="preserve">Članak </w:t>
      </w:r>
      <w:r w:rsidR="007D5908">
        <w:rPr>
          <w:b/>
          <w:bCs/>
        </w:rPr>
        <w:t>9</w:t>
      </w:r>
      <w:r w:rsidRPr="00273CB1">
        <w:rPr>
          <w:b/>
          <w:bCs/>
        </w:rPr>
        <w:t>.</w:t>
      </w:r>
    </w:p>
    <w:p w14:paraId="677E3484" w14:textId="6431CA21" w:rsidR="00273CB1" w:rsidRDefault="00A83ECB" w:rsidP="0037763D">
      <w:pPr>
        <w:pStyle w:val="StandardWeb"/>
      </w:pPr>
      <w:r>
        <w:t>Pravilnik o reviziji umjetničkog djelovanja i doprinosa kazališnih umjetnika stupa na snagu u roku od osam dana od dana objave na oglasnoj ploči Kazališta.</w:t>
      </w:r>
      <w:bookmarkEnd w:id="2"/>
    </w:p>
    <w:p w14:paraId="6AFB6D23" w14:textId="77777777" w:rsidR="00AD61F3" w:rsidRDefault="00AD61F3" w:rsidP="0037763D">
      <w:pPr>
        <w:pStyle w:val="StandardWeb"/>
      </w:pPr>
    </w:p>
    <w:p w14:paraId="0173DE75" w14:textId="4FBAE706" w:rsidR="00763E01" w:rsidRPr="0000520A" w:rsidRDefault="00763E01" w:rsidP="00763E0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0520A">
        <w:rPr>
          <w:rFonts w:ascii="Times New Roman" w:eastAsia="Calibri" w:hAnsi="Times New Roman" w:cs="Times New Roman"/>
          <w:kern w:val="0"/>
          <w14:ligatures w14:val="none"/>
        </w:rPr>
        <w:t>Klasa: 612-03/2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00520A">
        <w:rPr>
          <w:rFonts w:ascii="Times New Roman" w:eastAsia="Calibri" w:hAnsi="Times New Roman" w:cs="Times New Roman"/>
          <w:kern w:val="0"/>
          <w14:ligatures w14:val="none"/>
        </w:rPr>
        <w:t>-01/</w:t>
      </w:r>
      <w:r>
        <w:rPr>
          <w:rFonts w:ascii="Times New Roman" w:eastAsia="Calibri" w:hAnsi="Times New Roman" w:cs="Times New Roman"/>
          <w:kern w:val="0"/>
          <w14:ligatures w14:val="none"/>
        </w:rPr>
        <w:t>265</w:t>
      </w:r>
    </w:p>
    <w:p w14:paraId="5529D0D2" w14:textId="77777777" w:rsidR="00763E01" w:rsidRPr="0000520A" w:rsidRDefault="00763E01" w:rsidP="00763E0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00520A">
        <w:rPr>
          <w:rFonts w:ascii="Times New Roman" w:eastAsia="Calibri" w:hAnsi="Times New Roman" w:cs="Times New Roman"/>
          <w:kern w:val="0"/>
          <w14:ligatures w14:val="none"/>
        </w:rPr>
        <w:t>Urbroj</w:t>
      </w:r>
      <w:proofErr w:type="spellEnd"/>
      <w:r w:rsidRPr="0000520A">
        <w:rPr>
          <w:rFonts w:ascii="Times New Roman" w:eastAsia="Calibri" w:hAnsi="Times New Roman" w:cs="Times New Roman"/>
          <w:kern w:val="0"/>
          <w14:ligatures w14:val="none"/>
        </w:rPr>
        <w:t>: 2181-110-2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00520A">
        <w:rPr>
          <w:rFonts w:ascii="Times New Roman" w:eastAsia="Calibri" w:hAnsi="Times New Roman" w:cs="Times New Roman"/>
          <w:kern w:val="0"/>
          <w14:ligatures w14:val="none"/>
        </w:rPr>
        <w:t>-1</w:t>
      </w:r>
    </w:p>
    <w:p w14:paraId="403CE979" w14:textId="77777777" w:rsidR="00763E01" w:rsidRPr="0000520A" w:rsidRDefault="00763E01" w:rsidP="00763E0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0520A">
        <w:rPr>
          <w:rFonts w:ascii="Times New Roman" w:eastAsia="Calibri" w:hAnsi="Times New Roman" w:cs="Times New Roman"/>
          <w:kern w:val="0"/>
          <w14:ligatures w14:val="none"/>
        </w:rPr>
        <w:t xml:space="preserve">Split, </w:t>
      </w:r>
      <w:r>
        <w:rPr>
          <w:rFonts w:ascii="Times New Roman" w:eastAsia="Calibri" w:hAnsi="Times New Roman" w:cs="Times New Roman"/>
          <w:kern w:val="0"/>
          <w14:ligatures w14:val="none"/>
        </w:rPr>
        <w:t>29. srpnja 2025.</w:t>
      </w:r>
    </w:p>
    <w:p w14:paraId="7BD59C72" w14:textId="77777777" w:rsidR="00763E01" w:rsidRDefault="00763E01" w:rsidP="00763E01">
      <w:pPr>
        <w:pStyle w:val="StandardWeb"/>
        <w:jc w:val="right"/>
      </w:pPr>
      <w:r>
        <w:t>PREDSJEDNIK KAZALIŠNOG VIJEĆA:</w:t>
      </w:r>
    </w:p>
    <w:p w14:paraId="4CDFCB48" w14:textId="77777777" w:rsidR="00763E01" w:rsidRDefault="00763E01" w:rsidP="00763E01">
      <w:pPr>
        <w:pStyle w:val="StandardWeb"/>
        <w:jc w:val="right"/>
      </w:pPr>
    </w:p>
    <w:p w14:paraId="40866B63" w14:textId="77777777" w:rsidR="00763E01" w:rsidRDefault="00763E01" w:rsidP="00763E01">
      <w:pPr>
        <w:pStyle w:val="StandardWeb"/>
        <w:jc w:val="right"/>
      </w:pPr>
      <w:r>
        <w:t>Siniša Novković</w:t>
      </w:r>
    </w:p>
    <w:p w14:paraId="7FD293D2" w14:textId="77777777" w:rsidR="00763E01" w:rsidRDefault="00763E01" w:rsidP="00763E01">
      <w:pPr>
        <w:pStyle w:val="StandardWeb"/>
        <w:jc w:val="right"/>
      </w:pPr>
    </w:p>
    <w:p w14:paraId="4C7DDDD8" w14:textId="77777777" w:rsidR="00763E01" w:rsidRDefault="00763E01" w:rsidP="00763E01">
      <w:pPr>
        <w:pStyle w:val="StandardWeb"/>
        <w:jc w:val="right"/>
      </w:pPr>
    </w:p>
    <w:p w14:paraId="13B4795E" w14:textId="048BDAEB" w:rsidR="00763E01" w:rsidRDefault="00763E01" w:rsidP="00763E01">
      <w:pPr>
        <w:pStyle w:val="StandardWeb"/>
      </w:pPr>
      <w:r>
        <w:t>Da je Pravilnik o reviziji umjetničkog djelovanja i doprinosa kazališnih umjetnika objavljen na oglasnoj ploči Gradskog kazališta mladih _______________________ te da je stupio na snagu _________________________, svojim potpisom potvrđuje:</w:t>
      </w:r>
    </w:p>
    <w:p w14:paraId="0DA0D315" w14:textId="77777777" w:rsidR="00763E01" w:rsidRDefault="00763E01" w:rsidP="00763E01">
      <w:pPr>
        <w:pStyle w:val="StandardWeb"/>
      </w:pPr>
    </w:p>
    <w:p w14:paraId="6DCE8E7D" w14:textId="77777777" w:rsidR="00763E01" w:rsidRDefault="00763E01" w:rsidP="00763E01">
      <w:pPr>
        <w:pStyle w:val="StandardWeb"/>
        <w:jc w:val="right"/>
      </w:pPr>
      <w:r>
        <w:t>RAVNATELJ:</w:t>
      </w:r>
    </w:p>
    <w:p w14:paraId="283D44A7" w14:textId="77777777" w:rsidR="00763E01" w:rsidRDefault="00763E01" w:rsidP="00763E01">
      <w:pPr>
        <w:pStyle w:val="StandardWeb"/>
        <w:jc w:val="right"/>
      </w:pPr>
    </w:p>
    <w:p w14:paraId="517F7C3B" w14:textId="77777777" w:rsidR="00763E01" w:rsidRDefault="00763E01" w:rsidP="00763E01">
      <w:pPr>
        <w:pStyle w:val="StandardWeb"/>
        <w:jc w:val="right"/>
      </w:pPr>
      <w:r>
        <w:t xml:space="preserve">dr. sc. Ivo </w:t>
      </w:r>
      <w:proofErr w:type="spellStart"/>
      <w:r>
        <w:t>Perkušić</w:t>
      </w:r>
      <w:proofErr w:type="spellEnd"/>
    </w:p>
    <w:p w14:paraId="22CDBACD" w14:textId="77777777" w:rsidR="00763E01" w:rsidRPr="008B1202" w:rsidRDefault="00763E01" w:rsidP="0076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52EDF2" w14:textId="77777777" w:rsidR="00763E01" w:rsidRDefault="00763E01" w:rsidP="0037763D">
      <w:pPr>
        <w:pStyle w:val="StandardWeb"/>
      </w:pPr>
    </w:p>
    <w:sectPr w:rsidR="00763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1DF"/>
    <w:multiLevelType w:val="hybridMultilevel"/>
    <w:tmpl w:val="6B96D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870"/>
    <w:multiLevelType w:val="hybridMultilevel"/>
    <w:tmpl w:val="07E2DFDE"/>
    <w:lvl w:ilvl="0" w:tplc="D730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B320E"/>
    <w:multiLevelType w:val="multilevel"/>
    <w:tmpl w:val="EA8E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B6630"/>
    <w:multiLevelType w:val="hybridMultilevel"/>
    <w:tmpl w:val="F81AB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37D6"/>
    <w:multiLevelType w:val="multilevel"/>
    <w:tmpl w:val="74E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4E73"/>
    <w:multiLevelType w:val="hybridMultilevel"/>
    <w:tmpl w:val="74C8A1B6"/>
    <w:lvl w:ilvl="0" w:tplc="C3B2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73C09"/>
    <w:multiLevelType w:val="hybridMultilevel"/>
    <w:tmpl w:val="AF7CB54E"/>
    <w:lvl w:ilvl="0" w:tplc="4B86C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82E04"/>
    <w:multiLevelType w:val="hybridMultilevel"/>
    <w:tmpl w:val="AD44793C"/>
    <w:lvl w:ilvl="0" w:tplc="EF58B52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54AC"/>
    <w:multiLevelType w:val="multilevel"/>
    <w:tmpl w:val="259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2967">
    <w:abstractNumId w:val="8"/>
  </w:num>
  <w:num w:numId="2" w16cid:durableId="676930248">
    <w:abstractNumId w:val="2"/>
  </w:num>
  <w:num w:numId="3" w16cid:durableId="1453092786">
    <w:abstractNumId w:val="3"/>
  </w:num>
  <w:num w:numId="4" w16cid:durableId="2120101417">
    <w:abstractNumId w:val="6"/>
  </w:num>
  <w:num w:numId="5" w16cid:durableId="1171749328">
    <w:abstractNumId w:val="7"/>
  </w:num>
  <w:num w:numId="6" w16cid:durableId="1964462010">
    <w:abstractNumId w:val="5"/>
  </w:num>
  <w:num w:numId="7" w16cid:durableId="130094720">
    <w:abstractNumId w:val="1"/>
  </w:num>
  <w:num w:numId="8" w16cid:durableId="188881569">
    <w:abstractNumId w:val="0"/>
  </w:num>
  <w:num w:numId="9" w16cid:durableId="1043677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1"/>
    <w:rsid w:val="00077DC8"/>
    <w:rsid w:val="00091873"/>
    <w:rsid w:val="00092EF6"/>
    <w:rsid w:val="0011155F"/>
    <w:rsid w:val="00195EB7"/>
    <w:rsid w:val="001D7531"/>
    <w:rsid w:val="00273CB1"/>
    <w:rsid w:val="002A2565"/>
    <w:rsid w:val="002B1EA1"/>
    <w:rsid w:val="002F2BE8"/>
    <w:rsid w:val="00322FE8"/>
    <w:rsid w:val="00357ED3"/>
    <w:rsid w:val="0037763D"/>
    <w:rsid w:val="003B5EA5"/>
    <w:rsid w:val="004076A0"/>
    <w:rsid w:val="00443E23"/>
    <w:rsid w:val="004509B5"/>
    <w:rsid w:val="004B3663"/>
    <w:rsid w:val="00556F6F"/>
    <w:rsid w:val="005C709F"/>
    <w:rsid w:val="00696200"/>
    <w:rsid w:val="006B1718"/>
    <w:rsid w:val="00763E01"/>
    <w:rsid w:val="00775B2F"/>
    <w:rsid w:val="007A146A"/>
    <w:rsid w:val="007D5908"/>
    <w:rsid w:val="00806A43"/>
    <w:rsid w:val="008273EE"/>
    <w:rsid w:val="008C0304"/>
    <w:rsid w:val="008F657D"/>
    <w:rsid w:val="009510AB"/>
    <w:rsid w:val="009966FD"/>
    <w:rsid w:val="009E671F"/>
    <w:rsid w:val="00A27663"/>
    <w:rsid w:val="00A83ECB"/>
    <w:rsid w:val="00AC6E72"/>
    <w:rsid w:val="00AD61F3"/>
    <w:rsid w:val="00AD6C51"/>
    <w:rsid w:val="00B16D37"/>
    <w:rsid w:val="00B17F75"/>
    <w:rsid w:val="00BF1222"/>
    <w:rsid w:val="00C6666B"/>
    <w:rsid w:val="00CF1FEB"/>
    <w:rsid w:val="00D068AC"/>
    <w:rsid w:val="00D3202C"/>
    <w:rsid w:val="00D550F6"/>
    <w:rsid w:val="00D63041"/>
    <w:rsid w:val="00E73FD9"/>
    <w:rsid w:val="00EB5BA3"/>
    <w:rsid w:val="00ED2188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097F"/>
  <w15:chartTrackingRefBased/>
  <w15:docId w15:val="{4C156FC1-EFA2-4106-8D08-5B4EC125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0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0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0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0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0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0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0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0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0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0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041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6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D63041"/>
    <w:rPr>
      <w:b/>
      <w:bCs/>
    </w:rPr>
  </w:style>
  <w:style w:type="character" w:styleId="Istaknuto">
    <w:name w:val="Emphasis"/>
    <w:basedOn w:val="Zadanifontodlomka"/>
    <w:uiPriority w:val="20"/>
    <w:qFormat/>
    <w:rsid w:val="00D63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5</cp:revision>
  <cp:lastPrinted>2025-09-26T08:55:00Z</cp:lastPrinted>
  <dcterms:created xsi:type="dcterms:W3CDTF">2025-07-23T06:00:00Z</dcterms:created>
  <dcterms:modified xsi:type="dcterms:W3CDTF">2025-09-26T08:57:00Z</dcterms:modified>
</cp:coreProperties>
</file>